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59" w:rsidRDefault="00DC2D9F" w:rsidP="00A23159">
      <w:pPr>
        <w:pStyle w:val="Heading1"/>
      </w:pPr>
      <w:r w:rsidRPr="00701886">
        <w:rPr>
          <w:rFonts w:cs="Courier New"/>
          <w:sz w:val="20"/>
          <w:szCs w:val="20"/>
        </w:rPr>
        <w:t xml:space="preserve"> </w:t>
      </w:r>
      <w:r w:rsidR="00D928C4">
        <w:t xml:space="preserve">Opioid </w:t>
      </w:r>
      <w:r w:rsidR="00C21B6C">
        <w:t xml:space="preserve">CARE </w:t>
      </w:r>
      <w:r w:rsidR="00A23159">
        <w:t xml:space="preserve">Bundle </w:t>
      </w:r>
    </w:p>
    <w:p w:rsidR="00C779CF" w:rsidRDefault="00C779CF" w:rsidP="00C779CF">
      <w:pPr>
        <w:autoSpaceDE w:val="0"/>
        <w:autoSpaceDN w:val="0"/>
        <w:adjustRightInd w:val="0"/>
        <w:rPr>
          <w:rFonts w:cs="Calibri"/>
        </w:rPr>
      </w:pPr>
      <w:r w:rsidRPr="00862FC3">
        <w:rPr>
          <w:rFonts w:cs="Calibri"/>
        </w:rPr>
        <w:t xml:space="preserve">Practices will randomly sample of 10 patients per </w:t>
      </w:r>
      <w:r w:rsidR="00CB3690">
        <w:rPr>
          <w:rFonts w:cs="Calibri"/>
        </w:rPr>
        <w:t>Quarter</w:t>
      </w:r>
      <w:r w:rsidRPr="00862FC3">
        <w:rPr>
          <w:rFonts w:cs="Calibri"/>
        </w:rPr>
        <w:t xml:space="preserve"> </w:t>
      </w:r>
      <w:r w:rsidR="00E81B73">
        <w:rPr>
          <w:rFonts w:cs="Calibri"/>
        </w:rPr>
        <w:t>who have been prescribed opioid</w:t>
      </w:r>
      <w:r w:rsidR="00347C97">
        <w:rPr>
          <w:rFonts w:cs="Calibri"/>
        </w:rPr>
        <w:t>*</w:t>
      </w:r>
      <w:r w:rsidR="00E81B73">
        <w:rPr>
          <w:rFonts w:cs="Calibri"/>
        </w:rPr>
        <w:t xml:space="preserve"> derived pain relief in the past 3 months</w:t>
      </w:r>
      <w:r w:rsidRPr="00862FC3">
        <w:rPr>
          <w:rFonts w:cs="Calibri"/>
        </w:rPr>
        <w:t>, to see if they are reliably receiving the following care:</w:t>
      </w:r>
    </w:p>
    <w:p w:rsidR="00EA67C8" w:rsidRPr="00E81B73" w:rsidRDefault="00D52BB7" w:rsidP="00E81B73">
      <w:pPr>
        <w:pStyle w:val="ListParagraph"/>
        <w:numPr>
          <w:ilvl w:val="0"/>
          <w:numId w:val="1"/>
        </w:numPr>
        <w:autoSpaceDE w:val="0"/>
        <w:autoSpaceDN w:val="0"/>
        <w:adjustRightInd w:val="0"/>
        <w:spacing w:after="0" w:line="240" w:lineRule="auto"/>
        <w:rPr>
          <w:rFonts w:cs="Calibri"/>
          <w:iCs/>
        </w:rPr>
      </w:pPr>
      <w:r w:rsidRPr="00D52BB7">
        <w:rPr>
          <w:rFonts w:cs="Calibri"/>
          <w:iCs/>
        </w:rPr>
        <w:t>Is there a clear indication documented and coded?</w:t>
      </w:r>
      <w:r w:rsidR="00D476F5" w:rsidRPr="00D476F5">
        <w:rPr>
          <w:rFonts w:cs="Calibri"/>
          <w:iCs/>
        </w:rPr>
        <w:t xml:space="preserve"> </w:t>
      </w:r>
    </w:p>
    <w:p w:rsidR="00472899" w:rsidRDefault="00472899" w:rsidP="00E81B73">
      <w:pPr>
        <w:pStyle w:val="ListParagraph"/>
        <w:numPr>
          <w:ilvl w:val="0"/>
          <w:numId w:val="1"/>
        </w:numPr>
        <w:autoSpaceDE w:val="0"/>
        <w:autoSpaceDN w:val="0"/>
        <w:adjustRightInd w:val="0"/>
        <w:spacing w:after="0" w:line="240" w:lineRule="auto"/>
        <w:rPr>
          <w:rFonts w:cs="Calibri"/>
          <w:iCs/>
        </w:rPr>
      </w:pPr>
      <w:r w:rsidRPr="00472899">
        <w:rPr>
          <w:rFonts w:cs="Calibri"/>
          <w:iCs/>
        </w:rPr>
        <w:t>Is there a clear management plan linked to patient goals, including</w:t>
      </w:r>
      <w:r>
        <w:rPr>
          <w:rFonts w:cs="Calibri"/>
          <w:iCs/>
        </w:rPr>
        <w:t xml:space="preserve"> non-pharmacological strategies</w:t>
      </w:r>
      <w:r w:rsidRPr="00472899">
        <w:rPr>
          <w:rFonts w:cs="Calibri"/>
          <w:iCs/>
        </w:rPr>
        <w:t xml:space="preserve">? </w:t>
      </w:r>
    </w:p>
    <w:p w:rsidR="00472899" w:rsidRDefault="00472899" w:rsidP="00E10875">
      <w:pPr>
        <w:pStyle w:val="ListParagraph"/>
        <w:numPr>
          <w:ilvl w:val="0"/>
          <w:numId w:val="1"/>
        </w:numPr>
        <w:autoSpaceDE w:val="0"/>
        <w:autoSpaceDN w:val="0"/>
        <w:adjustRightInd w:val="0"/>
        <w:spacing w:after="0" w:line="240" w:lineRule="auto"/>
        <w:rPr>
          <w:rFonts w:cs="Calibri"/>
          <w:iCs/>
        </w:rPr>
      </w:pPr>
      <w:r w:rsidRPr="00472899">
        <w:rPr>
          <w:rFonts w:cs="Calibri"/>
          <w:iCs/>
        </w:rPr>
        <w:t xml:space="preserve">Is there evidence that the analgesic has been used in accordance with local pain guidance prior to the patient being prescribed a moderate to strong </w:t>
      </w:r>
      <w:proofErr w:type="spellStart"/>
      <w:r w:rsidRPr="00472899">
        <w:rPr>
          <w:rFonts w:cs="Calibri"/>
          <w:iCs/>
        </w:rPr>
        <w:t>opioid</w:t>
      </w:r>
      <w:proofErr w:type="spellEnd"/>
      <w:r w:rsidRPr="00472899">
        <w:rPr>
          <w:rFonts w:cs="Calibri"/>
          <w:iCs/>
        </w:rPr>
        <w:t xml:space="preserve"> derived analgesic?</w:t>
      </w:r>
    </w:p>
    <w:p w:rsidR="00EA67C8" w:rsidRPr="00D476F5" w:rsidRDefault="00472899" w:rsidP="00E10875">
      <w:pPr>
        <w:pStyle w:val="ListParagraph"/>
        <w:numPr>
          <w:ilvl w:val="0"/>
          <w:numId w:val="1"/>
        </w:numPr>
        <w:autoSpaceDE w:val="0"/>
        <w:autoSpaceDN w:val="0"/>
        <w:adjustRightInd w:val="0"/>
        <w:spacing w:after="0" w:line="240" w:lineRule="auto"/>
        <w:rPr>
          <w:rFonts w:cs="Calibri"/>
          <w:iCs/>
        </w:rPr>
      </w:pPr>
      <w:r w:rsidRPr="00472899">
        <w:rPr>
          <w:rFonts w:cs="Calibri"/>
          <w:iCs/>
        </w:rPr>
        <w:t xml:space="preserve"> </w:t>
      </w:r>
      <w:r>
        <w:rPr>
          <w:rFonts w:cs="Calibri"/>
          <w:iCs/>
        </w:rPr>
        <w:t>I</w:t>
      </w:r>
      <w:r w:rsidRPr="00472899">
        <w:rPr>
          <w:rFonts w:cs="Calibri"/>
          <w:iCs/>
        </w:rPr>
        <w:t xml:space="preserve">s initial prescription an acute and for no more than 30 </w:t>
      </w:r>
      <w:proofErr w:type="spellStart"/>
      <w:r w:rsidRPr="00472899">
        <w:rPr>
          <w:rFonts w:cs="Calibri"/>
          <w:iCs/>
        </w:rPr>
        <w:t>days</w:t>
      </w:r>
      <w:proofErr w:type="spellEnd"/>
      <w:r w:rsidRPr="00472899">
        <w:rPr>
          <w:rFonts w:cs="Calibri"/>
          <w:iCs/>
        </w:rPr>
        <w:t xml:space="preserve"> </w:t>
      </w:r>
      <w:proofErr w:type="gramStart"/>
      <w:r w:rsidRPr="00472899">
        <w:rPr>
          <w:rFonts w:cs="Calibri"/>
          <w:iCs/>
        </w:rPr>
        <w:t>supply  and</w:t>
      </w:r>
      <w:proofErr w:type="gramEnd"/>
      <w:r w:rsidRPr="00472899">
        <w:rPr>
          <w:rFonts w:cs="Calibri"/>
          <w:iCs/>
        </w:rPr>
        <w:t xml:space="preserve"> are lost or over</w:t>
      </w:r>
      <w:r>
        <w:rPr>
          <w:rFonts w:cs="Calibri"/>
          <w:iCs/>
        </w:rPr>
        <w:t>-</w:t>
      </w:r>
      <w:r w:rsidRPr="00472899">
        <w:rPr>
          <w:rFonts w:cs="Calibri"/>
          <w:iCs/>
        </w:rPr>
        <w:t>ordered prescriptions dealt with in accordance with prescribing policy (if applicable)?</w:t>
      </w:r>
    </w:p>
    <w:p w:rsidR="00E10875" w:rsidRPr="00D476F5" w:rsidRDefault="00D52BB7" w:rsidP="00E10875">
      <w:pPr>
        <w:pStyle w:val="ListParagraph"/>
        <w:numPr>
          <w:ilvl w:val="0"/>
          <w:numId w:val="1"/>
        </w:numPr>
        <w:autoSpaceDE w:val="0"/>
        <w:autoSpaceDN w:val="0"/>
        <w:adjustRightInd w:val="0"/>
        <w:spacing w:after="0" w:line="240" w:lineRule="auto"/>
        <w:rPr>
          <w:rFonts w:cs="Calibri"/>
        </w:rPr>
      </w:pPr>
      <w:r w:rsidRPr="00D476F5">
        <w:rPr>
          <w:rFonts w:cs="Calibri"/>
          <w:iCs/>
        </w:rPr>
        <w:t xml:space="preserve"> Has clin</w:t>
      </w:r>
      <w:r w:rsidRPr="00D52BB7">
        <w:rPr>
          <w:rFonts w:cs="Calibri"/>
          <w:iCs/>
        </w:rPr>
        <w:t>ical review occurred effectively prior to the second prescription being issued?</w:t>
      </w:r>
    </w:p>
    <w:p w:rsidR="00D476F5" w:rsidRPr="00D52BB7" w:rsidRDefault="00D476F5" w:rsidP="00D476F5">
      <w:pPr>
        <w:pStyle w:val="ListParagraph"/>
        <w:autoSpaceDE w:val="0"/>
        <w:autoSpaceDN w:val="0"/>
        <w:adjustRightInd w:val="0"/>
        <w:spacing w:after="0" w:line="240" w:lineRule="auto"/>
        <w:rPr>
          <w:rFonts w:cs="Calibri"/>
        </w:rPr>
      </w:pPr>
    </w:p>
    <w:tbl>
      <w:tblPr>
        <w:tblW w:w="0" w:type="auto"/>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4A0"/>
      </w:tblPr>
      <w:tblGrid>
        <w:gridCol w:w="1384"/>
        <w:gridCol w:w="142"/>
        <w:gridCol w:w="2178"/>
        <w:gridCol w:w="2838"/>
        <w:gridCol w:w="3196"/>
        <w:gridCol w:w="60"/>
      </w:tblGrid>
      <w:tr w:rsidR="003F79CD" w:rsidRPr="00862FC3" w:rsidTr="003F79CD">
        <w:tc>
          <w:tcPr>
            <w:tcW w:w="1384" w:type="dxa"/>
            <w:tcBorders>
              <w:top w:val="single" w:sz="6" w:space="0" w:color="0070C0"/>
              <w:left w:val="single" w:sz="6" w:space="0" w:color="0070C0"/>
              <w:bottom w:val="single" w:sz="6" w:space="0" w:color="0070C0"/>
              <w:right w:val="single" w:sz="6" w:space="0" w:color="0070C0"/>
            </w:tcBorders>
            <w:shd w:val="clear" w:color="auto" w:fill="365F91"/>
          </w:tcPr>
          <w:p w:rsidR="003F79CD" w:rsidRPr="00862FC3" w:rsidRDefault="003F79CD" w:rsidP="00862FC3">
            <w:pPr>
              <w:pStyle w:val="PlainText"/>
              <w:spacing w:after="0"/>
              <w:rPr>
                <w:rFonts w:ascii="Calibri" w:hAnsi="Calibri" w:cs="Courier New"/>
                <w:b/>
                <w:bCs/>
                <w:color w:val="FFFFFF"/>
                <w:sz w:val="20"/>
                <w:szCs w:val="20"/>
              </w:rPr>
            </w:pPr>
            <w:r>
              <w:rPr>
                <w:rFonts w:ascii="Calibri" w:hAnsi="Calibri" w:cs="Courier New"/>
                <w:b/>
                <w:bCs/>
                <w:color w:val="FFFFFF"/>
                <w:sz w:val="20"/>
                <w:szCs w:val="20"/>
              </w:rPr>
              <w:t>Key Area</w:t>
            </w:r>
          </w:p>
        </w:tc>
        <w:tc>
          <w:tcPr>
            <w:tcW w:w="2320" w:type="dxa"/>
            <w:gridSpan w:val="2"/>
            <w:tcBorders>
              <w:top w:val="single" w:sz="6" w:space="0" w:color="0070C0"/>
              <w:left w:val="single" w:sz="6" w:space="0" w:color="0070C0"/>
              <w:bottom w:val="single" w:sz="6" w:space="0" w:color="0070C0"/>
              <w:right w:val="single" w:sz="6" w:space="0" w:color="0070C0"/>
            </w:tcBorders>
            <w:shd w:val="clear" w:color="auto" w:fill="365F91"/>
          </w:tcPr>
          <w:p w:rsidR="003F79CD" w:rsidRPr="00862FC3" w:rsidRDefault="003F79CD" w:rsidP="00862FC3">
            <w:pPr>
              <w:pStyle w:val="PlainText"/>
              <w:spacing w:after="0"/>
              <w:rPr>
                <w:rFonts w:ascii="Calibri" w:hAnsi="Calibri" w:cs="Courier New"/>
                <w:b/>
                <w:bCs/>
                <w:color w:val="FFFFFF"/>
                <w:sz w:val="20"/>
                <w:szCs w:val="20"/>
              </w:rPr>
            </w:pPr>
            <w:r w:rsidRPr="00862FC3">
              <w:rPr>
                <w:rFonts w:ascii="Calibri" w:hAnsi="Calibri" w:cs="Courier New"/>
                <w:b/>
                <w:bCs/>
                <w:color w:val="FFFFFF"/>
                <w:sz w:val="20"/>
                <w:szCs w:val="20"/>
              </w:rPr>
              <w:t>Measure</w:t>
            </w:r>
          </w:p>
        </w:tc>
        <w:tc>
          <w:tcPr>
            <w:tcW w:w="2838" w:type="dxa"/>
            <w:tcBorders>
              <w:top w:val="single" w:sz="6" w:space="0" w:color="0070C0"/>
              <w:left w:val="single" w:sz="6" w:space="0" w:color="0070C0"/>
              <w:bottom w:val="single" w:sz="6" w:space="0" w:color="0070C0"/>
              <w:right w:val="single" w:sz="6" w:space="0" w:color="0070C0"/>
            </w:tcBorders>
            <w:shd w:val="clear" w:color="auto" w:fill="365F91"/>
          </w:tcPr>
          <w:p w:rsidR="003F79CD" w:rsidRPr="00862FC3" w:rsidRDefault="003F79CD" w:rsidP="00701886">
            <w:pPr>
              <w:pStyle w:val="PlainText"/>
              <w:rPr>
                <w:rFonts w:ascii="Calibri" w:hAnsi="Calibri" w:cs="Courier New"/>
                <w:b/>
                <w:bCs/>
                <w:color w:val="FFFFFF"/>
                <w:sz w:val="20"/>
                <w:szCs w:val="20"/>
              </w:rPr>
            </w:pPr>
            <w:r>
              <w:rPr>
                <w:rFonts w:ascii="Calibri" w:hAnsi="Calibri" w:cs="Courier New"/>
                <w:b/>
                <w:bCs/>
                <w:color w:val="FFFFFF"/>
                <w:sz w:val="20"/>
                <w:szCs w:val="20"/>
              </w:rPr>
              <w:t>To meet criteria</w:t>
            </w:r>
          </w:p>
        </w:tc>
        <w:tc>
          <w:tcPr>
            <w:tcW w:w="3256" w:type="dxa"/>
            <w:gridSpan w:val="2"/>
            <w:tcBorders>
              <w:top w:val="single" w:sz="6" w:space="0" w:color="0070C0"/>
              <w:left w:val="single" w:sz="6" w:space="0" w:color="0070C0"/>
              <w:bottom w:val="single" w:sz="6" w:space="0" w:color="0070C0"/>
              <w:right w:val="single" w:sz="6" w:space="0" w:color="0070C0"/>
            </w:tcBorders>
            <w:shd w:val="clear" w:color="auto" w:fill="365F91"/>
          </w:tcPr>
          <w:p w:rsidR="003F79CD" w:rsidRPr="00862FC3" w:rsidRDefault="003F79CD" w:rsidP="00701886">
            <w:pPr>
              <w:pStyle w:val="PlainText"/>
              <w:rPr>
                <w:rFonts w:ascii="Calibri" w:hAnsi="Calibri" w:cs="Courier New"/>
                <w:b/>
                <w:bCs/>
                <w:color w:val="FFFFFF"/>
                <w:sz w:val="20"/>
                <w:szCs w:val="20"/>
              </w:rPr>
            </w:pPr>
            <w:r w:rsidRPr="00862FC3">
              <w:rPr>
                <w:rFonts w:ascii="Calibri" w:hAnsi="Calibri" w:cs="Courier New"/>
                <w:b/>
                <w:bCs/>
                <w:color w:val="FFFFFF"/>
                <w:sz w:val="20"/>
                <w:szCs w:val="20"/>
              </w:rPr>
              <w:t xml:space="preserve">Rationale </w:t>
            </w:r>
          </w:p>
        </w:tc>
      </w:tr>
      <w:tr w:rsidR="003F79CD" w:rsidRPr="00862FC3" w:rsidTr="003F79CD">
        <w:trPr>
          <w:gridAfter w:val="1"/>
          <w:wAfter w:w="60" w:type="dxa"/>
        </w:trPr>
        <w:tc>
          <w:tcPr>
            <w:tcW w:w="1526" w:type="dxa"/>
            <w:gridSpan w:val="2"/>
            <w:tcBorders>
              <w:top w:val="single" w:sz="6" w:space="0" w:color="0070C0"/>
            </w:tcBorders>
          </w:tcPr>
          <w:p w:rsidR="003F79CD" w:rsidRPr="00D52BB7" w:rsidRDefault="003F79CD" w:rsidP="00E81B73">
            <w:pPr>
              <w:pStyle w:val="PlainText"/>
              <w:spacing w:before="0" w:after="0"/>
              <w:rPr>
                <w:rFonts w:ascii="Calibri" w:hAnsi="Calibri" w:cs="Calibri"/>
                <w:iCs/>
                <w:sz w:val="16"/>
                <w:szCs w:val="20"/>
              </w:rPr>
            </w:pPr>
            <w:r>
              <w:rPr>
                <w:rFonts w:ascii="Calibri" w:hAnsi="Calibri" w:cs="Calibri"/>
                <w:iCs/>
                <w:sz w:val="16"/>
                <w:szCs w:val="20"/>
              </w:rPr>
              <w:t>Indication</w:t>
            </w:r>
          </w:p>
        </w:tc>
        <w:tc>
          <w:tcPr>
            <w:tcW w:w="2178" w:type="dxa"/>
            <w:tcBorders>
              <w:top w:val="single" w:sz="6" w:space="0" w:color="0070C0"/>
            </w:tcBorders>
            <w:shd w:val="clear" w:color="auto" w:fill="auto"/>
          </w:tcPr>
          <w:p w:rsidR="003F79CD" w:rsidRPr="00E81B73" w:rsidRDefault="003F79CD" w:rsidP="00E81B73">
            <w:pPr>
              <w:pStyle w:val="PlainText"/>
              <w:spacing w:before="0" w:after="0"/>
              <w:rPr>
                <w:rFonts w:ascii="Calibri" w:hAnsi="Calibri" w:cs="Calibri"/>
                <w:iCs/>
                <w:sz w:val="16"/>
                <w:szCs w:val="20"/>
              </w:rPr>
            </w:pPr>
            <w:r w:rsidRPr="00D52BB7">
              <w:rPr>
                <w:rFonts w:ascii="Calibri" w:hAnsi="Calibri" w:cs="Calibri"/>
                <w:iCs/>
                <w:sz w:val="16"/>
                <w:szCs w:val="20"/>
              </w:rPr>
              <w:t xml:space="preserve">Is there a clear indication documented and coded? </w:t>
            </w:r>
          </w:p>
        </w:tc>
        <w:tc>
          <w:tcPr>
            <w:tcW w:w="2838" w:type="dxa"/>
            <w:tcBorders>
              <w:top w:val="single" w:sz="6" w:space="0" w:color="0070C0"/>
            </w:tcBorders>
          </w:tcPr>
          <w:p w:rsidR="003F79CD" w:rsidRDefault="003F79CD" w:rsidP="00990962">
            <w:pPr>
              <w:pStyle w:val="Default"/>
              <w:rPr>
                <w:rFonts w:cs="Courier New"/>
                <w:sz w:val="16"/>
                <w:szCs w:val="16"/>
              </w:rPr>
            </w:pPr>
            <w:r>
              <w:rPr>
                <w:rFonts w:cs="Courier New"/>
                <w:sz w:val="16"/>
                <w:szCs w:val="16"/>
              </w:rPr>
              <w:t>Clear indication for the opioid use should be documented in the patient notes ( handwritten or computerised)</w:t>
            </w:r>
          </w:p>
          <w:p w:rsidR="003F79CD" w:rsidRDefault="003F79CD" w:rsidP="00990962">
            <w:pPr>
              <w:pStyle w:val="Default"/>
              <w:rPr>
                <w:rFonts w:cs="Courier New"/>
                <w:sz w:val="16"/>
                <w:szCs w:val="16"/>
              </w:rPr>
            </w:pPr>
            <w:r w:rsidRPr="00D52BB7">
              <w:rPr>
                <w:rFonts w:cs="Courier New"/>
                <w:sz w:val="16"/>
                <w:szCs w:val="16"/>
              </w:rPr>
              <w:t xml:space="preserve">If the patient has had pain for more than 12 weeks the read code 1M52. </w:t>
            </w:r>
            <w:proofErr w:type="gramStart"/>
            <w:r w:rsidRPr="00D52BB7">
              <w:rPr>
                <w:rFonts w:cs="Courier New"/>
                <w:sz w:val="16"/>
                <w:szCs w:val="16"/>
              </w:rPr>
              <w:t>should</w:t>
            </w:r>
            <w:proofErr w:type="gramEnd"/>
            <w:r w:rsidRPr="00D52BB7">
              <w:rPr>
                <w:rFonts w:cs="Courier New"/>
                <w:sz w:val="16"/>
                <w:szCs w:val="16"/>
              </w:rPr>
              <w:t xml:space="preserve"> be added to their notes if not coded already.</w:t>
            </w:r>
          </w:p>
        </w:tc>
        <w:tc>
          <w:tcPr>
            <w:tcW w:w="3196" w:type="dxa"/>
            <w:tcBorders>
              <w:top w:val="single" w:sz="6" w:space="0" w:color="0070C0"/>
            </w:tcBorders>
            <w:shd w:val="clear" w:color="auto" w:fill="auto"/>
          </w:tcPr>
          <w:p w:rsidR="003F79CD" w:rsidRPr="00E81B73" w:rsidRDefault="003F79CD" w:rsidP="003F79CD">
            <w:pPr>
              <w:pStyle w:val="Default"/>
              <w:rPr>
                <w:rFonts w:cs="Courier New"/>
                <w:sz w:val="16"/>
                <w:szCs w:val="16"/>
              </w:rPr>
            </w:pPr>
            <w:r>
              <w:rPr>
                <w:rFonts w:cs="Courier New"/>
                <w:sz w:val="16"/>
                <w:szCs w:val="16"/>
              </w:rPr>
              <w:t>Coding for chronic pain</w:t>
            </w:r>
            <w:r w:rsidR="00CB3690">
              <w:rPr>
                <w:rFonts w:cs="Courier New"/>
                <w:sz w:val="16"/>
                <w:szCs w:val="16"/>
              </w:rPr>
              <w:t xml:space="preserve"> </w:t>
            </w:r>
            <w:r w:rsidRPr="00990962">
              <w:rPr>
                <w:rFonts w:cs="Courier New"/>
                <w:sz w:val="16"/>
                <w:szCs w:val="16"/>
              </w:rPr>
              <w:t>will allow audit and review, and begin the process of implementing and measuring other improvements.</w:t>
            </w:r>
          </w:p>
        </w:tc>
      </w:tr>
      <w:tr w:rsidR="00472899" w:rsidRPr="00862FC3" w:rsidTr="003F79CD">
        <w:trPr>
          <w:gridAfter w:val="1"/>
          <w:wAfter w:w="60" w:type="dxa"/>
        </w:trPr>
        <w:tc>
          <w:tcPr>
            <w:tcW w:w="1526" w:type="dxa"/>
            <w:gridSpan w:val="2"/>
            <w:tcBorders>
              <w:top w:val="single" w:sz="6" w:space="0" w:color="0070C0"/>
            </w:tcBorders>
          </w:tcPr>
          <w:p w:rsidR="00472899" w:rsidRPr="00D52BB7" w:rsidRDefault="00472899" w:rsidP="00D20312">
            <w:pPr>
              <w:pStyle w:val="PlainText"/>
              <w:spacing w:before="0" w:after="0"/>
              <w:rPr>
                <w:rFonts w:ascii="Calibri" w:hAnsi="Calibri" w:cs="Calibri"/>
                <w:iCs/>
                <w:sz w:val="16"/>
                <w:szCs w:val="20"/>
              </w:rPr>
            </w:pPr>
            <w:r>
              <w:rPr>
                <w:rFonts w:ascii="Calibri" w:hAnsi="Calibri" w:cs="Calibri"/>
                <w:iCs/>
                <w:sz w:val="16"/>
                <w:szCs w:val="20"/>
              </w:rPr>
              <w:t>Management Plan</w:t>
            </w:r>
          </w:p>
        </w:tc>
        <w:tc>
          <w:tcPr>
            <w:tcW w:w="2178" w:type="dxa"/>
            <w:tcBorders>
              <w:top w:val="single" w:sz="6" w:space="0" w:color="0070C0"/>
            </w:tcBorders>
            <w:shd w:val="clear" w:color="auto" w:fill="auto"/>
          </w:tcPr>
          <w:p w:rsidR="00472899" w:rsidRPr="00E81B73" w:rsidRDefault="00472899" w:rsidP="00472899">
            <w:pPr>
              <w:pStyle w:val="PlainText"/>
              <w:spacing w:before="0" w:after="0"/>
              <w:rPr>
                <w:rFonts w:ascii="Calibri" w:hAnsi="Calibri" w:cs="Calibri"/>
                <w:iCs/>
                <w:sz w:val="16"/>
                <w:szCs w:val="20"/>
              </w:rPr>
            </w:pPr>
            <w:r w:rsidRPr="00D52BB7">
              <w:rPr>
                <w:rFonts w:ascii="Calibri" w:hAnsi="Calibri" w:cs="Calibri"/>
                <w:iCs/>
                <w:sz w:val="16"/>
                <w:szCs w:val="20"/>
              </w:rPr>
              <w:t xml:space="preserve">Is there a clear management plan including non-pharmacological </w:t>
            </w:r>
            <w:r>
              <w:rPr>
                <w:rFonts w:ascii="Calibri" w:hAnsi="Calibri" w:cs="Calibri"/>
                <w:iCs/>
                <w:sz w:val="16"/>
                <w:szCs w:val="20"/>
              </w:rPr>
              <w:t>strategies</w:t>
            </w:r>
            <w:r w:rsidRPr="00D52BB7">
              <w:rPr>
                <w:rFonts w:ascii="Calibri" w:hAnsi="Calibri" w:cs="Calibri"/>
                <w:iCs/>
                <w:sz w:val="16"/>
                <w:szCs w:val="20"/>
              </w:rPr>
              <w:t xml:space="preserve">? </w:t>
            </w:r>
          </w:p>
        </w:tc>
        <w:tc>
          <w:tcPr>
            <w:tcW w:w="2838" w:type="dxa"/>
            <w:tcBorders>
              <w:top w:val="single" w:sz="6" w:space="0" w:color="0070C0"/>
            </w:tcBorders>
          </w:tcPr>
          <w:p w:rsidR="00472899" w:rsidRPr="00947D15" w:rsidRDefault="00472899" w:rsidP="00D20312">
            <w:pPr>
              <w:pStyle w:val="PlainText"/>
              <w:spacing w:before="0"/>
              <w:rPr>
                <w:rFonts w:ascii="Calibri" w:hAnsi="Calibri" w:cs="Courier New"/>
                <w:color w:val="000000"/>
                <w:sz w:val="16"/>
                <w:szCs w:val="16"/>
              </w:rPr>
            </w:pPr>
            <w:r>
              <w:rPr>
                <w:rFonts w:ascii="Calibri" w:hAnsi="Calibri" w:cs="Courier New"/>
                <w:color w:val="000000"/>
                <w:sz w:val="16"/>
                <w:szCs w:val="16"/>
              </w:rPr>
              <w:t>Evidence of clear pharmacological plan and signposting for non-pharmacological strategies/self management approach</w:t>
            </w:r>
          </w:p>
        </w:tc>
        <w:tc>
          <w:tcPr>
            <w:tcW w:w="3196" w:type="dxa"/>
            <w:tcBorders>
              <w:top w:val="single" w:sz="6" w:space="0" w:color="0070C0"/>
            </w:tcBorders>
            <w:shd w:val="clear" w:color="auto" w:fill="auto"/>
          </w:tcPr>
          <w:p w:rsidR="00472899" w:rsidRPr="00E81B73" w:rsidRDefault="00472899" w:rsidP="00D20312">
            <w:pPr>
              <w:pStyle w:val="PlainText"/>
              <w:spacing w:before="0"/>
              <w:rPr>
                <w:b/>
                <w:bCs/>
                <w:sz w:val="16"/>
                <w:szCs w:val="20"/>
              </w:rPr>
            </w:pPr>
            <w:r w:rsidRPr="00947D15">
              <w:rPr>
                <w:rFonts w:ascii="Calibri" w:hAnsi="Calibri" w:cs="Courier New"/>
                <w:color w:val="000000"/>
                <w:sz w:val="16"/>
                <w:szCs w:val="16"/>
              </w:rPr>
              <w:t xml:space="preserve">SIGN 136 recommends </w:t>
            </w:r>
            <w:r>
              <w:rPr>
                <w:rFonts w:ascii="Calibri" w:hAnsi="Calibri" w:cs="Courier New"/>
                <w:color w:val="000000"/>
                <w:sz w:val="16"/>
                <w:szCs w:val="16"/>
              </w:rPr>
              <w:t>e</w:t>
            </w:r>
            <w:r w:rsidRPr="00947D15">
              <w:rPr>
                <w:rFonts w:ascii="Calibri" w:hAnsi="Calibri" w:cs="Courier New"/>
                <w:color w:val="000000"/>
                <w:sz w:val="16"/>
                <w:szCs w:val="16"/>
              </w:rPr>
              <w:t>xercise and exercise therapies, regardless of their form</w:t>
            </w:r>
            <w:r>
              <w:rPr>
                <w:rFonts w:ascii="Calibri" w:hAnsi="Calibri" w:cs="Courier New"/>
                <w:color w:val="000000"/>
                <w:sz w:val="16"/>
                <w:szCs w:val="16"/>
              </w:rPr>
              <w:t xml:space="preserve"> and self management for</w:t>
            </w:r>
            <w:r w:rsidRPr="00947D15">
              <w:rPr>
                <w:rFonts w:ascii="Calibri" w:hAnsi="Calibri" w:cs="Courier New"/>
                <w:color w:val="000000"/>
                <w:sz w:val="16"/>
                <w:szCs w:val="16"/>
              </w:rPr>
              <w:t xml:space="preserve"> patients with chronic pain.</w:t>
            </w:r>
          </w:p>
        </w:tc>
      </w:tr>
      <w:tr w:rsidR="00472899" w:rsidRPr="00862FC3" w:rsidTr="003F79CD">
        <w:trPr>
          <w:gridAfter w:val="1"/>
          <w:wAfter w:w="60" w:type="dxa"/>
        </w:trPr>
        <w:tc>
          <w:tcPr>
            <w:tcW w:w="1526" w:type="dxa"/>
            <w:gridSpan w:val="2"/>
          </w:tcPr>
          <w:p w:rsidR="00472899" w:rsidRPr="00D52BB7" w:rsidRDefault="00472899" w:rsidP="00E81B73">
            <w:pPr>
              <w:pStyle w:val="PlainText"/>
              <w:spacing w:before="0" w:after="0"/>
              <w:rPr>
                <w:rFonts w:ascii="Calibri" w:hAnsi="Calibri" w:cs="Calibri"/>
                <w:iCs/>
                <w:sz w:val="16"/>
                <w:szCs w:val="20"/>
              </w:rPr>
            </w:pPr>
            <w:r>
              <w:rPr>
                <w:rFonts w:ascii="Calibri" w:hAnsi="Calibri" w:cs="Calibri"/>
                <w:iCs/>
                <w:sz w:val="16"/>
                <w:szCs w:val="20"/>
              </w:rPr>
              <w:t>Assessment</w:t>
            </w:r>
          </w:p>
        </w:tc>
        <w:tc>
          <w:tcPr>
            <w:tcW w:w="2178" w:type="dxa"/>
            <w:shd w:val="clear" w:color="auto" w:fill="auto"/>
            <w:vAlign w:val="center"/>
          </w:tcPr>
          <w:p w:rsidR="00472899" w:rsidRPr="00472899" w:rsidRDefault="00472899" w:rsidP="00472899">
            <w:pPr>
              <w:pStyle w:val="ListParagraph"/>
              <w:autoSpaceDE w:val="0"/>
              <w:autoSpaceDN w:val="0"/>
              <w:adjustRightInd w:val="0"/>
              <w:spacing w:after="0" w:line="240" w:lineRule="auto"/>
              <w:ind w:left="0"/>
              <w:rPr>
                <w:rFonts w:cs="Calibri"/>
                <w:iCs/>
                <w:sz w:val="16"/>
              </w:rPr>
            </w:pPr>
            <w:r w:rsidRPr="00472899">
              <w:rPr>
                <w:rFonts w:cs="Calibri"/>
                <w:iCs/>
                <w:sz w:val="16"/>
              </w:rPr>
              <w:t xml:space="preserve">Is there evidence that the analgesic has been used in accordance with local pain guidance prior to the patient being prescribed a moderate to strong </w:t>
            </w:r>
            <w:proofErr w:type="spellStart"/>
            <w:r w:rsidRPr="00472899">
              <w:rPr>
                <w:rFonts w:cs="Calibri"/>
                <w:iCs/>
                <w:sz w:val="16"/>
              </w:rPr>
              <w:t>opioid</w:t>
            </w:r>
            <w:proofErr w:type="spellEnd"/>
            <w:r w:rsidRPr="00472899">
              <w:rPr>
                <w:rFonts w:cs="Calibri"/>
                <w:iCs/>
                <w:sz w:val="16"/>
              </w:rPr>
              <w:t xml:space="preserve"> derived analgesic?</w:t>
            </w:r>
          </w:p>
          <w:p w:rsidR="00472899" w:rsidRPr="00E81B73" w:rsidRDefault="00472899" w:rsidP="00E81B73">
            <w:pPr>
              <w:pStyle w:val="PlainText"/>
              <w:spacing w:before="0" w:after="0"/>
              <w:rPr>
                <w:rFonts w:ascii="Calibri" w:hAnsi="Calibri" w:cs="Calibri"/>
                <w:iCs/>
                <w:sz w:val="16"/>
                <w:szCs w:val="20"/>
              </w:rPr>
            </w:pPr>
          </w:p>
        </w:tc>
        <w:tc>
          <w:tcPr>
            <w:tcW w:w="2838" w:type="dxa"/>
          </w:tcPr>
          <w:p w:rsidR="00472899" w:rsidRDefault="00472899">
            <w:pPr>
              <w:pStyle w:val="Default"/>
              <w:rPr>
                <w:rFonts w:cs="Courier New"/>
                <w:sz w:val="16"/>
                <w:szCs w:val="16"/>
              </w:rPr>
            </w:pPr>
            <w:r w:rsidRPr="00176845">
              <w:rPr>
                <w:rFonts w:cs="Courier New"/>
                <w:sz w:val="16"/>
                <w:szCs w:val="16"/>
              </w:rPr>
              <w:t>Evi</w:t>
            </w:r>
            <w:r>
              <w:rPr>
                <w:rFonts w:cs="Courier New"/>
                <w:sz w:val="16"/>
                <w:szCs w:val="16"/>
              </w:rPr>
              <w:t>dence of trials of weak opioids and Non-opioids</w:t>
            </w:r>
            <w:bookmarkStart w:id="0" w:name="_GoBack"/>
            <w:bookmarkEnd w:id="0"/>
            <w:r>
              <w:rPr>
                <w:rFonts w:cs="Courier New"/>
                <w:sz w:val="16"/>
                <w:szCs w:val="16"/>
              </w:rPr>
              <w:t xml:space="preserve"> analgesics if appropriate </w:t>
            </w:r>
          </w:p>
          <w:p w:rsidR="00472899" w:rsidRDefault="00472899">
            <w:pPr>
              <w:pStyle w:val="Default"/>
              <w:rPr>
                <w:rFonts w:cs="Courier New"/>
                <w:sz w:val="16"/>
                <w:szCs w:val="16"/>
              </w:rPr>
            </w:pPr>
            <w:r>
              <w:rPr>
                <w:rFonts w:cs="Courier New"/>
                <w:sz w:val="16"/>
                <w:szCs w:val="16"/>
              </w:rPr>
              <w:t>Evidence of assessment to rule out  neuropathic pain</w:t>
            </w:r>
          </w:p>
          <w:p w:rsidR="00472899" w:rsidRDefault="00472899">
            <w:pPr>
              <w:pStyle w:val="Default"/>
              <w:rPr>
                <w:rFonts w:ascii="Arial" w:hAnsi="Arial" w:cs="Arial"/>
                <w:lang w:val="en-GB" w:eastAsia="en-GB"/>
              </w:rPr>
            </w:pPr>
            <w:r>
              <w:rPr>
                <w:rFonts w:cs="Courier New"/>
                <w:sz w:val="16"/>
                <w:szCs w:val="16"/>
              </w:rPr>
              <w:t>Evidence of conforming to local formulary choices</w:t>
            </w:r>
          </w:p>
        </w:tc>
        <w:tc>
          <w:tcPr>
            <w:tcW w:w="3196" w:type="dxa"/>
            <w:shd w:val="clear" w:color="auto" w:fill="auto"/>
          </w:tcPr>
          <w:p w:rsidR="00472899" w:rsidRPr="00947D15" w:rsidRDefault="00472899" w:rsidP="00947D15">
            <w:pPr>
              <w:autoSpaceDE w:val="0"/>
              <w:autoSpaceDN w:val="0"/>
              <w:adjustRightInd w:val="0"/>
              <w:spacing w:before="0" w:after="0" w:line="240" w:lineRule="auto"/>
              <w:rPr>
                <w:rFonts w:ascii="Arial" w:hAnsi="Arial" w:cs="Arial"/>
                <w:color w:val="000000"/>
                <w:sz w:val="24"/>
                <w:szCs w:val="24"/>
                <w:lang w:val="en-GB" w:eastAsia="en-GB"/>
              </w:rPr>
            </w:pPr>
          </w:p>
          <w:p w:rsidR="00472899" w:rsidRPr="00947D15" w:rsidRDefault="00472899" w:rsidP="00947D15">
            <w:pPr>
              <w:autoSpaceDE w:val="0"/>
              <w:autoSpaceDN w:val="0"/>
              <w:adjustRightInd w:val="0"/>
              <w:spacing w:before="0" w:after="0" w:line="240" w:lineRule="auto"/>
              <w:rPr>
                <w:rFonts w:cs="Courier New"/>
                <w:color w:val="000000"/>
                <w:sz w:val="16"/>
                <w:szCs w:val="16"/>
              </w:rPr>
            </w:pPr>
            <w:r w:rsidRPr="00947D15">
              <w:rPr>
                <w:rFonts w:cs="Courier New"/>
                <w:color w:val="000000"/>
                <w:sz w:val="16"/>
                <w:szCs w:val="16"/>
              </w:rPr>
              <w:t xml:space="preserve">Although effective in short-term pain relief, there is little or no evidence for the effectiveness of long-term use of strong opioids in chronic pain, and these should only be initiated with caution after a discussion about realistic treatment goals, the potential side effects and longer term </w:t>
            </w:r>
            <w:proofErr w:type="gramStart"/>
            <w:r w:rsidRPr="00947D15">
              <w:rPr>
                <w:rFonts w:cs="Courier New"/>
                <w:color w:val="000000"/>
                <w:sz w:val="16"/>
                <w:szCs w:val="16"/>
              </w:rPr>
              <w:t xml:space="preserve">risks </w:t>
            </w:r>
            <w:r>
              <w:rPr>
                <w:rFonts w:cs="Courier New"/>
                <w:color w:val="000000"/>
                <w:sz w:val="16"/>
                <w:szCs w:val="16"/>
              </w:rPr>
              <w:t>.</w:t>
            </w:r>
            <w:proofErr w:type="gramEnd"/>
            <w:r>
              <w:rPr>
                <w:rFonts w:cs="Courier New"/>
                <w:color w:val="000000"/>
                <w:sz w:val="16"/>
                <w:szCs w:val="16"/>
              </w:rPr>
              <w:t xml:space="preserve"> </w:t>
            </w:r>
          </w:p>
          <w:p w:rsidR="00472899" w:rsidRPr="00E81B73" w:rsidRDefault="00472899" w:rsidP="00E81B73">
            <w:pPr>
              <w:pStyle w:val="PlainText"/>
              <w:spacing w:before="0" w:after="0"/>
              <w:rPr>
                <w:rFonts w:ascii="Calibri" w:hAnsi="Calibri" w:cs="Courier New"/>
                <w:b/>
                <w:sz w:val="16"/>
                <w:szCs w:val="20"/>
              </w:rPr>
            </w:pPr>
          </w:p>
        </w:tc>
      </w:tr>
      <w:tr w:rsidR="00472899" w:rsidRPr="00862FC3" w:rsidTr="003F79CD">
        <w:trPr>
          <w:gridAfter w:val="1"/>
          <w:wAfter w:w="60" w:type="dxa"/>
        </w:trPr>
        <w:tc>
          <w:tcPr>
            <w:tcW w:w="1526" w:type="dxa"/>
            <w:gridSpan w:val="2"/>
          </w:tcPr>
          <w:p w:rsidR="00472899" w:rsidRPr="00D52BB7" w:rsidRDefault="00472899" w:rsidP="00D52BB7">
            <w:pPr>
              <w:pStyle w:val="PlainText"/>
              <w:spacing w:before="0" w:after="0"/>
              <w:rPr>
                <w:rFonts w:ascii="Calibri" w:hAnsi="Calibri" w:cs="Calibri"/>
                <w:iCs/>
                <w:sz w:val="16"/>
                <w:szCs w:val="20"/>
              </w:rPr>
            </w:pPr>
            <w:r>
              <w:rPr>
                <w:rFonts w:ascii="Calibri" w:hAnsi="Calibri" w:cs="Calibri"/>
                <w:iCs/>
                <w:sz w:val="16"/>
                <w:szCs w:val="20"/>
              </w:rPr>
              <w:t>Prescription Management</w:t>
            </w:r>
          </w:p>
        </w:tc>
        <w:tc>
          <w:tcPr>
            <w:tcW w:w="2178" w:type="dxa"/>
            <w:shd w:val="clear" w:color="auto" w:fill="auto"/>
          </w:tcPr>
          <w:p w:rsidR="00472899" w:rsidRPr="00E81B73" w:rsidRDefault="00472899" w:rsidP="00D52BB7">
            <w:pPr>
              <w:pStyle w:val="PlainText"/>
              <w:spacing w:before="0" w:after="0"/>
              <w:rPr>
                <w:rFonts w:ascii="Calibri" w:hAnsi="Calibri" w:cs="Calibri"/>
                <w:iCs/>
                <w:sz w:val="16"/>
                <w:szCs w:val="20"/>
              </w:rPr>
            </w:pPr>
            <w:r w:rsidRPr="00D52BB7">
              <w:rPr>
                <w:rFonts w:ascii="Calibri" w:hAnsi="Calibri" w:cs="Calibri"/>
                <w:iCs/>
                <w:sz w:val="16"/>
                <w:szCs w:val="20"/>
              </w:rPr>
              <w:t xml:space="preserve">Is initial prescription an acute and for no more than 30 </w:t>
            </w:r>
            <w:r>
              <w:rPr>
                <w:rFonts w:ascii="Calibri" w:hAnsi="Calibri" w:cs="Calibri"/>
                <w:iCs/>
                <w:sz w:val="16"/>
                <w:szCs w:val="20"/>
              </w:rPr>
              <w:t>day</w:t>
            </w:r>
            <w:r w:rsidRPr="00D52BB7">
              <w:rPr>
                <w:rFonts w:ascii="Calibri" w:hAnsi="Calibri" w:cs="Calibri"/>
                <w:iCs/>
                <w:sz w:val="16"/>
                <w:szCs w:val="20"/>
              </w:rPr>
              <w:t xml:space="preserve"> supply and are lost or over</w:t>
            </w:r>
            <w:r>
              <w:rPr>
                <w:rFonts w:ascii="Calibri" w:hAnsi="Calibri" w:cs="Calibri"/>
                <w:iCs/>
                <w:sz w:val="16"/>
                <w:szCs w:val="20"/>
              </w:rPr>
              <w:t>-</w:t>
            </w:r>
            <w:r w:rsidRPr="00D52BB7">
              <w:rPr>
                <w:rFonts w:ascii="Calibri" w:hAnsi="Calibri" w:cs="Calibri"/>
                <w:iCs/>
                <w:sz w:val="16"/>
                <w:szCs w:val="20"/>
              </w:rPr>
              <w:t>ordered prescriptions dealt with in accordance with prescribing policy (if applicable)?</w:t>
            </w:r>
          </w:p>
        </w:tc>
        <w:tc>
          <w:tcPr>
            <w:tcW w:w="2838" w:type="dxa"/>
          </w:tcPr>
          <w:p w:rsidR="00472899" w:rsidRDefault="00472899" w:rsidP="00E81B73">
            <w:pPr>
              <w:pStyle w:val="PlainText"/>
              <w:spacing w:before="0" w:after="0"/>
              <w:rPr>
                <w:rFonts w:ascii="Calibri" w:hAnsi="Calibri" w:cs="Courier New"/>
                <w:sz w:val="16"/>
                <w:szCs w:val="16"/>
              </w:rPr>
            </w:pPr>
            <w:r>
              <w:rPr>
                <w:rFonts w:ascii="Calibri" w:hAnsi="Calibri" w:cs="Courier New"/>
                <w:sz w:val="16"/>
                <w:szCs w:val="16"/>
              </w:rPr>
              <w:t xml:space="preserve">Must meet both aspects if applicable to meet criteria </w:t>
            </w:r>
          </w:p>
        </w:tc>
        <w:tc>
          <w:tcPr>
            <w:tcW w:w="3196" w:type="dxa"/>
            <w:shd w:val="clear" w:color="auto" w:fill="auto"/>
          </w:tcPr>
          <w:p w:rsidR="00472899" w:rsidRPr="00E81B73" w:rsidRDefault="00472899" w:rsidP="00E81B73">
            <w:pPr>
              <w:pStyle w:val="PlainText"/>
              <w:spacing w:before="0" w:after="0"/>
              <w:rPr>
                <w:rFonts w:ascii="Calibri" w:hAnsi="Calibri" w:cs="Courier New"/>
                <w:sz w:val="16"/>
                <w:szCs w:val="16"/>
              </w:rPr>
            </w:pPr>
            <w:r>
              <w:rPr>
                <w:rFonts w:ascii="Calibri" w:hAnsi="Calibri" w:cs="Courier New"/>
                <w:sz w:val="16"/>
                <w:szCs w:val="16"/>
              </w:rPr>
              <w:t>The Department of Health and Scottish Government have issued strong recommendations that the maximum quantity of opioids  should not exceed 30 days</w:t>
            </w:r>
          </w:p>
        </w:tc>
      </w:tr>
      <w:tr w:rsidR="00472899" w:rsidRPr="00862FC3" w:rsidTr="003F79CD">
        <w:trPr>
          <w:gridAfter w:val="1"/>
          <w:wAfter w:w="60" w:type="dxa"/>
        </w:trPr>
        <w:tc>
          <w:tcPr>
            <w:tcW w:w="1526" w:type="dxa"/>
            <w:gridSpan w:val="2"/>
          </w:tcPr>
          <w:p w:rsidR="00472899" w:rsidRPr="00D52BB7" w:rsidRDefault="00472899" w:rsidP="00E81B73">
            <w:pPr>
              <w:pStyle w:val="PlainText"/>
              <w:spacing w:before="0" w:after="0"/>
              <w:rPr>
                <w:rFonts w:ascii="Calibri" w:hAnsi="Calibri" w:cs="Calibri"/>
                <w:iCs/>
                <w:sz w:val="16"/>
                <w:szCs w:val="20"/>
              </w:rPr>
            </w:pPr>
            <w:r>
              <w:rPr>
                <w:rFonts w:ascii="Calibri" w:hAnsi="Calibri" w:cs="Calibri"/>
                <w:iCs/>
                <w:sz w:val="16"/>
                <w:szCs w:val="20"/>
              </w:rPr>
              <w:t>Review</w:t>
            </w:r>
          </w:p>
        </w:tc>
        <w:tc>
          <w:tcPr>
            <w:tcW w:w="2178" w:type="dxa"/>
            <w:shd w:val="clear" w:color="auto" w:fill="auto"/>
          </w:tcPr>
          <w:p w:rsidR="00472899" w:rsidRPr="00E81B73" w:rsidRDefault="00472899" w:rsidP="00E81B73">
            <w:pPr>
              <w:pStyle w:val="PlainText"/>
              <w:spacing w:before="0" w:after="0"/>
              <w:rPr>
                <w:rFonts w:ascii="Calibri" w:hAnsi="Calibri" w:cs="Calibri"/>
                <w:iCs/>
                <w:sz w:val="16"/>
                <w:szCs w:val="20"/>
              </w:rPr>
            </w:pPr>
            <w:r w:rsidRPr="00D52BB7">
              <w:rPr>
                <w:rFonts w:ascii="Calibri" w:hAnsi="Calibri" w:cs="Calibri"/>
                <w:iCs/>
                <w:sz w:val="16"/>
                <w:szCs w:val="20"/>
              </w:rPr>
              <w:t>Has clinical review occurred effectively prior to the second prescription being issued?</w:t>
            </w:r>
          </w:p>
        </w:tc>
        <w:tc>
          <w:tcPr>
            <w:tcW w:w="2838" w:type="dxa"/>
          </w:tcPr>
          <w:p w:rsidR="00472899" w:rsidRDefault="00472899" w:rsidP="00D941DA">
            <w:pPr>
              <w:pStyle w:val="PlainText"/>
              <w:spacing w:before="0" w:after="0"/>
              <w:rPr>
                <w:rFonts w:ascii="Calibri" w:hAnsi="Calibri" w:cs="Courier New"/>
                <w:sz w:val="16"/>
                <w:szCs w:val="16"/>
              </w:rPr>
            </w:pPr>
            <w:r>
              <w:rPr>
                <w:rFonts w:ascii="Calibri" w:hAnsi="Calibri" w:cs="Courier New"/>
                <w:sz w:val="16"/>
                <w:szCs w:val="16"/>
              </w:rPr>
              <w:t>The  patient must have been formally reviewed by  GP or Specialist within the planned timeframe and consultation recorded with clear record of response/benefit  to Opioid</w:t>
            </w:r>
          </w:p>
        </w:tc>
        <w:tc>
          <w:tcPr>
            <w:tcW w:w="3196" w:type="dxa"/>
            <w:shd w:val="clear" w:color="auto" w:fill="auto"/>
          </w:tcPr>
          <w:p w:rsidR="00472899" w:rsidRPr="00E81B73" w:rsidRDefault="00472899" w:rsidP="00E81B73">
            <w:pPr>
              <w:pStyle w:val="PlainText"/>
              <w:spacing w:before="0" w:after="0"/>
              <w:rPr>
                <w:rFonts w:ascii="Calibri" w:hAnsi="Calibri" w:cs="Courier New"/>
                <w:sz w:val="16"/>
                <w:szCs w:val="16"/>
              </w:rPr>
            </w:pPr>
            <w:r>
              <w:rPr>
                <w:rFonts w:ascii="Calibri" w:hAnsi="Calibri" w:cs="Courier New"/>
                <w:sz w:val="16"/>
                <w:szCs w:val="16"/>
              </w:rPr>
              <w:t>SIGN 136 recommends “</w:t>
            </w:r>
            <w:r w:rsidRPr="008A7003">
              <w:rPr>
                <w:rFonts w:ascii="Calibri" w:hAnsi="Calibri" w:cs="Courier New"/>
                <w:sz w:val="16"/>
                <w:szCs w:val="16"/>
              </w:rPr>
              <w:t>Strong opioids should be considered as an option for pain relief for patients with chronic low back pain or osteoarthritis, and only continued if there is ongoing pain relief. Regular review is required.</w:t>
            </w:r>
            <w:r>
              <w:rPr>
                <w:rFonts w:ascii="Calibri" w:hAnsi="Calibri" w:cs="Courier New"/>
                <w:sz w:val="16"/>
                <w:szCs w:val="16"/>
              </w:rPr>
              <w:t>”</w:t>
            </w:r>
          </w:p>
        </w:tc>
      </w:tr>
    </w:tbl>
    <w:p w:rsidR="00347C97" w:rsidRDefault="00347C97" w:rsidP="00347C97">
      <w:pPr>
        <w:spacing w:before="0" w:after="0" w:line="240" w:lineRule="auto"/>
        <w:ind w:left="360"/>
        <w:rPr>
          <w:rFonts w:eastAsia="Calibri"/>
        </w:rPr>
      </w:pPr>
    </w:p>
    <w:p w:rsidR="00D476F5" w:rsidRPr="00347C97" w:rsidRDefault="00347C97" w:rsidP="00D476F5">
      <w:pPr>
        <w:spacing w:before="0" w:after="0" w:line="240" w:lineRule="auto"/>
        <w:ind w:left="360"/>
        <w:rPr>
          <w:rFonts w:eastAsia="Calibri"/>
          <w:sz w:val="16"/>
        </w:rPr>
      </w:pPr>
      <w:r w:rsidRPr="00347C97">
        <w:rPr>
          <w:rFonts w:eastAsia="Calibri"/>
          <w:sz w:val="16"/>
        </w:rPr>
        <w:t>*Includes any medication containing:</w:t>
      </w:r>
      <w:r w:rsidR="00CB3690">
        <w:rPr>
          <w:rFonts w:eastAsia="Calibri"/>
          <w:sz w:val="16"/>
        </w:rPr>
        <w:t xml:space="preserve"> </w:t>
      </w:r>
      <w:r w:rsidRPr="00347C97">
        <w:rPr>
          <w:rFonts w:eastAsia="Calibri"/>
          <w:sz w:val="16"/>
        </w:rPr>
        <w:t xml:space="preserve"> </w:t>
      </w:r>
      <w:proofErr w:type="spellStart"/>
      <w:r w:rsidRPr="00347C97">
        <w:rPr>
          <w:rFonts w:eastAsia="Calibri"/>
          <w:sz w:val="16"/>
        </w:rPr>
        <w:t>Tramadol</w:t>
      </w:r>
      <w:proofErr w:type="spellEnd"/>
      <w:proofErr w:type="gramStart"/>
      <w:r w:rsidR="00CB3690">
        <w:rPr>
          <w:rFonts w:eastAsia="Calibri"/>
          <w:sz w:val="16"/>
        </w:rPr>
        <w:t xml:space="preserve">, </w:t>
      </w:r>
      <w:r w:rsidR="0087390F">
        <w:rPr>
          <w:rFonts w:eastAsia="Calibri"/>
          <w:sz w:val="16"/>
        </w:rPr>
        <w:t xml:space="preserve"> </w:t>
      </w:r>
      <w:proofErr w:type="spellStart"/>
      <w:r w:rsidR="0087390F">
        <w:rPr>
          <w:rFonts w:eastAsia="Calibri"/>
          <w:sz w:val="16"/>
        </w:rPr>
        <w:t>Tapentadol</w:t>
      </w:r>
      <w:proofErr w:type="spellEnd"/>
      <w:proofErr w:type="gramEnd"/>
      <w:r w:rsidR="00CB3690">
        <w:rPr>
          <w:rFonts w:eastAsia="Calibri"/>
          <w:sz w:val="16"/>
        </w:rPr>
        <w:t xml:space="preserve">, </w:t>
      </w:r>
      <w:r w:rsidRPr="00347C97">
        <w:rPr>
          <w:rFonts w:eastAsia="Calibri"/>
          <w:sz w:val="16"/>
        </w:rPr>
        <w:t>Morphine</w:t>
      </w:r>
      <w:r w:rsidR="00CB3690">
        <w:rPr>
          <w:rFonts w:eastAsia="Calibri"/>
          <w:sz w:val="16"/>
        </w:rPr>
        <w:t xml:space="preserve">, </w:t>
      </w:r>
      <w:proofErr w:type="spellStart"/>
      <w:r w:rsidR="00D476F5">
        <w:rPr>
          <w:rFonts w:eastAsia="Calibri"/>
          <w:sz w:val="16"/>
        </w:rPr>
        <w:t>Oxycodone</w:t>
      </w:r>
      <w:proofErr w:type="spellEnd"/>
      <w:r w:rsidR="00CB3690">
        <w:rPr>
          <w:rFonts w:eastAsia="Calibri"/>
          <w:sz w:val="16"/>
        </w:rPr>
        <w:t xml:space="preserve">, </w:t>
      </w:r>
      <w:proofErr w:type="spellStart"/>
      <w:r w:rsidR="00D476F5">
        <w:rPr>
          <w:rFonts w:eastAsia="Calibri"/>
          <w:sz w:val="16"/>
        </w:rPr>
        <w:t>Fentanyl</w:t>
      </w:r>
      <w:proofErr w:type="spellEnd"/>
      <w:r w:rsidR="00CB3690">
        <w:rPr>
          <w:rFonts w:eastAsia="Calibri"/>
          <w:sz w:val="16"/>
        </w:rPr>
        <w:t xml:space="preserve">, </w:t>
      </w:r>
      <w:r w:rsidR="00D476F5">
        <w:rPr>
          <w:rFonts w:eastAsia="Calibri"/>
          <w:sz w:val="16"/>
        </w:rPr>
        <w:t>Buprenorphine</w:t>
      </w:r>
    </w:p>
    <w:p w:rsidR="00DC2D9F" w:rsidRPr="00862FC3" w:rsidRDefault="00DC2D9F" w:rsidP="00A23159">
      <w:pPr>
        <w:pStyle w:val="PlainText"/>
        <w:spacing w:after="0"/>
        <w:rPr>
          <w:rFonts w:ascii="Calibri" w:hAnsi="Calibri" w:cs="Courier New"/>
          <w:sz w:val="20"/>
          <w:szCs w:val="20"/>
        </w:rPr>
      </w:pPr>
    </w:p>
    <w:sectPr w:rsidR="00DC2D9F" w:rsidRPr="00862FC3" w:rsidSect="00726400">
      <w:headerReference w:type="default" r:id="rId8"/>
      <w:footerReference w:type="default" r:id="rId9"/>
      <w:pgSz w:w="11906" w:h="16838"/>
      <w:pgMar w:top="2268" w:right="992" w:bottom="1440" w:left="1332" w:header="426" w:footer="4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3D2" w:rsidRDefault="001D13D2" w:rsidP="002123D2">
      <w:pPr>
        <w:spacing w:before="0" w:after="0" w:line="240" w:lineRule="auto"/>
      </w:pPr>
      <w:r>
        <w:separator/>
      </w:r>
    </w:p>
  </w:endnote>
  <w:endnote w:type="continuationSeparator" w:id="0">
    <w:p w:rsidR="001D13D2" w:rsidRDefault="001D13D2" w:rsidP="002123D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63" w:rsidRDefault="006B380B" w:rsidP="00726400">
    <w:pPr>
      <w:spacing w:before="0"/>
      <w:ind w:left="-993" w:right="-733"/>
    </w:pPr>
    <w:r w:rsidRPr="006B380B">
      <w:pict>
        <v:shapetype id="_x0000_t202" coordsize="21600,21600" o:spt="202" path="m,l,21600r21600,l21600,xe">
          <v:stroke joinstyle="miter"/>
          <v:path gradientshapeok="t" o:connecttype="rect"/>
        </v:shapetype>
        <v:shape id="Text Box 9" o:spid="_x0000_s2060" type="#_x0000_t202" style="position:absolute;left:0;text-align:left;margin-left:12.4pt;margin-top:7.7pt;width:425.25pt;height:45.95pt;z-index:251654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920F63" w:rsidRPr="004C619C" w:rsidRDefault="00920F63" w:rsidP="004C619C">
                <w:r>
                  <w:t xml:space="preserve">Acknowledgement and thanks to CMH, ADHB, WDHB and </w:t>
                </w:r>
                <w:proofErr w:type="spellStart"/>
                <w:r>
                  <w:t>Ko</w:t>
                </w:r>
                <w:proofErr w:type="spellEnd"/>
                <w:r>
                  <w:t xml:space="preserve"> </w:t>
                </w:r>
                <w:proofErr w:type="spellStart"/>
                <w:r>
                  <w:t>Awatea</w:t>
                </w:r>
                <w:proofErr w:type="spellEnd"/>
                <w:r>
                  <w:t xml:space="preserve"> for permission to use and adapt resources developed by the Safety in Practice Auckland regional programme New Zealand</w:t>
                </w:r>
              </w:p>
            </w:txbxContent>
          </v:textbox>
        </v:shape>
      </w:pict>
    </w:r>
    <w:r w:rsidR="00920F63">
      <w:rPr>
        <w:rFonts w:ascii="Cambria" w:hAnsi="Cambria"/>
      </w:rPr>
      <w:t xml:space="preserve">                                 </w:t>
    </w:r>
  </w:p>
  <w:p w:rsidR="00920F63" w:rsidRDefault="00920F63" w:rsidP="002123D2">
    <w:pPr>
      <w:ind w:left="-993" w:right="-73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3D2" w:rsidRDefault="001D13D2" w:rsidP="002123D2">
      <w:pPr>
        <w:spacing w:before="0" w:after="0" w:line="240" w:lineRule="auto"/>
      </w:pPr>
      <w:r>
        <w:separator/>
      </w:r>
    </w:p>
  </w:footnote>
  <w:footnote w:type="continuationSeparator" w:id="0">
    <w:p w:rsidR="001D13D2" w:rsidRDefault="001D13D2" w:rsidP="002123D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63" w:rsidRDefault="00920F63" w:rsidP="0004606A">
    <w:pPr>
      <w:pStyle w:val="Header"/>
      <w:tabs>
        <w:tab w:val="clear" w:pos="9026"/>
      </w:tabs>
      <w:ind w:left="-284"/>
    </w:pPr>
    <w:r>
      <w:rPr>
        <w:noProof/>
        <w:lang w:val="en-GB" w:eastAsia="en-GB"/>
      </w:rPr>
      <w:drawing>
        <wp:inline distT="0" distB="0" distL="0" distR="0">
          <wp:extent cx="6109500" cy="445273"/>
          <wp:effectExtent l="19050" t="0" r="55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56250"/>
                  <a:stretch>
                    <a:fillRect/>
                  </a:stretch>
                </pic:blipFill>
                <pic:spPr bwMode="auto">
                  <a:xfrm>
                    <a:off x="0" y="0"/>
                    <a:ext cx="6109500" cy="4452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4288"/>
    <w:multiLevelType w:val="hybridMultilevel"/>
    <w:tmpl w:val="8D6839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C3217FF"/>
    <w:multiLevelType w:val="hybridMultilevel"/>
    <w:tmpl w:val="8D68390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2ED131E1"/>
    <w:multiLevelType w:val="hybridMultilevel"/>
    <w:tmpl w:val="8D6839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53ED7BE5"/>
    <w:multiLevelType w:val="hybridMultilevel"/>
    <w:tmpl w:val="8D6839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5D097154"/>
    <w:multiLevelType w:val="hybridMultilevel"/>
    <w:tmpl w:val="8D6839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rsids>
    <w:rsidRoot w:val="00832D67"/>
    <w:rsid w:val="0004606A"/>
    <w:rsid w:val="00060F82"/>
    <w:rsid w:val="00071C74"/>
    <w:rsid w:val="00093252"/>
    <w:rsid w:val="0016499C"/>
    <w:rsid w:val="00176845"/>
    <w:rsid w:val="001B4970"/>
    <w:rsid w:val="001D13D2"/>
    <w:rsid w:val="00210D6B"/>
    <w:rsid w:val="002123D2"/>
    <w:rsid w:val="00216F8E"/>
    <w:rsid w:val="00293756"/>
    <w:rsid w:val="002B4521"/>
    <w:rsid w:val="002B6535"/>
    <w:rsid w:val="00347C97"/>
    <w:rsid w:val="003A7160"/>
    <w:rsid w:val="003F79CD"/>
    <w:rsid w:val="00402C12"/>
    <w:rsid w:val="00472899"/>
    <w:rsid w:val="00484952"/>
    <w:rsid w:val="004C619C"/>
    <w:rsid w:val="00504195"/>
    <w:rsid w:val="00554D69"/>
    <w:rsid w:val="005D73EA"/>
    <w:rsid w:val="006B380B"/>
    <w:rsid w:val="006F6B47"/>
    <w:rsid w:val="00701886"/>
    <w:rsid w:val="00726400"/>
    <w:rsid w:val="007D4EF0"/>
    <w:rsid w:val="00832D67"/>
    <w:rsid w:val="00862FC3"/>
    <w:rsid w:val="0087390F"/>
    <w:rsid w:val="00891B9B"/>
    <w:rsid w:val="008967CB"/>
    <w:rsid w:val="008A7003"/>
    <w:rsid w:val="008F2F71"/>
    <w:rsid w:val="00920F63"/>
    <w:rsid w:val="00936F41"/>
    <w:rsid w:val="00947D15"/>
    <w:rsid w:val="00973510"/>
    <w:rsid w:val="00990962"/>
    <w:rsid w:val="009B308D"/>
    <w:rsid w:val="00A23159"/>
    <w:rsid w:val="00AC2F5F"/>
    <w:rsid w:val="00AC4F50"/>
    <w:rsid w:val="00AC7F10"/>
    <w:rsid w:val="00B87FC4"/>
    <w:rsid w:val="00C21B6C"/>
    <w:rsid w:val="00C23765"/>
    <w:rsid w:val="00C419C9"/>
    <w:rsid w:val="00C733FF"/>
    <w:rsid w:val="00C779CF"/>
    <w:rsid w:val="00CA2B66"/>
    <w:rsid w:val="00CB3690"/>
    <w:rsid w:val="00CB3776"/>
    <w:rsid w:val="00CC73AD"/>
    <w:rsid w:val="00CD57B7"/>
    <w:rsid w:val="00D476F5"/>
    <w:rsid w:val="00D52BB7"/>
    <w:rsid w:val="00D928C4"/>
    <w:rsid w:val="00D941DA"/>
    <w:rsid w:val="00DC2D9F"/>
    <w:rsid w:val="00E10875"/>
    <w:rsid w:val="00E54B2E"/>
    <w:rsid w:val="00E81B73"/>
    <w:rsid w:val="00E9420D"/>
    <w:rsid w:val="00E97B78"/>
    <w:rsid w:val="00EA67C8"/>
    <w:rsid w:val="00EF0349"/>
    <w:rsid w:val="00F06487"/>
    <w:rsid w:val="00FD44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59"/>
    <w:pPr>
      <w:spacing w:before="200" w:after="200" w:line="276" w:lineRule="auto"/>
    </w:pPr>
    <w:rPr>
      <w:lang w:val="en-NZ" w:eastAsia="en-US"/>
    </w:rPr>
  </w:style>
  <w:style w:type="paragraph" w:styleId="Heading1">
    <w:name w:val="heading 1"/>
    <w:basedOn w:val="Normal"/>
    <w:next w:val="Normal"/>
    <w:link w:val="Heading1Char"/>
    <w:uiPriority w:val="9"/>
    <w:qFormat/>
    <w:rsid w:val="00A23159"/>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A23159"/>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23159"/>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A23159"/>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A23159"/>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A23159"/>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A23159"/>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A2315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315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C2A90"/>
    <w:rPr>
      <w:rFonts w:ascii="Consolas" w:hAnsi="Consolas"/>
      <w:sz w:val="21"/>
      <w:szCs w:val="21"/>
    </w:rPr>
  </w:style>
  <w:style w:type="character" w:customStyle="1" w:styleId="PlainTextChar">
    <w:name w:val="Plain Text Char"/>
    <w:link w:val="PlainText"/>
    <w:rsid w:val="001C2A90"/>
    <w:rPr>
      <w:rFonts w:ascii="Consolas" w:hAnsi="Consolas"/>
      <w:sz w:val="21"/>
      <w:szCs w:val="21"/>
      <w:lang w:val="en-AU" w:eastAsia="zh-CN"/>
    </w:rPr>
  </w:style>
  <w:style w:type="character" w:customStyle="1" w:styleId="Heading1Char">
    <w:name w:val="Heading 1 Char"/>
    <w:link w:val="Heading1"/>
    <w:uiPriority w:val="9"/>
    <w:rsid w:val="00A23159"/>
    <w:rPr>
      <w:b/>
      <w:bCs/>
      <w:caps/>
      <w:color w:val="FFFFFF"/>
      <w:spacing w:val="15"/>
      <w:shd w:val="clear" w:color="auto" w:fill="4F81BD"/>
    </w:rPr>
  </w:style>
  <w:style w:type="character" w:customStyle="1" w:styleId="Heading2Char">
    <w:name w:val="Heading 2 Char"/>
    <w:link w:val="Heading2"/>
    <w:uiPriority w:val="9"/>
    <w:semiHidden/>
    <w:rsid w:val="00A23159"/>
    <w:rPr>
      <w:caps/>
      <w:spacing w:val="15"/>
      <w:shd w:val="clear" w:color="auto" w:fill="DBE5F1"/>
    </w:rPr>
  </w:style>
  <w:style w:type="character" w:customStyle="1" w:styleId="Heading3Char">
    <w:name w:val="Heading 3 Char"/>
    <w:link w:val="Heading3"/>
    <w:uiPriority w:val="9"/>
    <w:semiHidden/>
    <w:rsid w:val="00A23159"/>
    <w:rPr>
      <w:caps/>
      <w:color w:val="243F60"/>
      <w:spacing w:val="15"/>
    </w:rPr>
  </w:style>
  <w:style w:type="character" w:customStyle="1" w:styleId="Heading4Char">
    <w:name w:val="Heading 4 Char"/>
    <w:link w:val="Heading4"/>
    <w:uiPriority w:val="9"/>
    <w:semiHidden/>
    <w:rsid w:val="00A23159"/>
    <w:rPr>
      <w:caps/>
      <w:color w:val="365F91"/>
      <w:spacing w:val="10"/>
    </w:rPr>
  </w:style>
  <w:style w:type="character" w:customStyle="1" w:styleId="Heading5Char">
    <w:name w:val="Heading 5 Char"/>
    <w:link w:val="Heading5"/>
    <w:uiPriority w:val="9"/>
    <w:semiHidden/>
    <w:rsid w:val="00A23159"/>
    <w:rPr>
      <w:caps/>
      <w:color w:val="365F91"/>
      <w:spacing w:val="10"/>
    </w:rPr>
  </w:style>
  <w:style w:type="character" w:customStyle="1" w:styleId="Heading6Char">
    <w:name w:val="Heading 6 Char"/>
    <w:link w:val="Heading6"/>
    <w:uiPriority w:val="9"/>
    <w:semiHidden/>
    <w:rsid w:val="00A23159"/>
    <w:rPr>
      <w:caps/>
      <w:color w:val="365F91"/>
      <w:spacing w:val="10"/>
    </w:rPr>
  </w:style>
  <w:style w:type="character" w:customStyle="1" w:styleId="Heading7Char">
    <w:name w:val="Heading 7 Char"/>
    <w:link w:val="Heading7"/>
    <w:uiPriority w:val="9"/>
    <w:semiHidden/>
    <w:rsid w:val="00A23159"/>
    <w:rPr>
      <w:caps/>
      <w:color w:val="365F91"/>
      <w:spacing w:val="10"/>
    </w:rPr>
  </w:style>
  <w:style w:type="character" w:customStyle="1" w:styleId="Heading8Char">
    <w:name w:val="Heading 8 Char"/>
    <w:link w:val="Heading8"/>
    <w:uiPriority w:val="9"/>
    <w:semiHidden/>
    <w:rsid w:val="00A23159"/>
    <w:rPr>
      <w:caps/>
      <w:spacing w:val="10"/>
      <w:sz w:val="18"/>
      <w:szCs w:val="18"/>
    </w:rPr>
  </w:style>
  <w:style w:type="character" w:customStyle="1" w:styleId="Heading9Char">
    <w:name w:val="Heading 9 Char"/>
    <w:link w:val="Heading9"/>
    <w:uiPriority w:val="9"/>
    <w:semiHidden/>
    <w:rsid w:val="00A23159"/>
    <w:rPr>
      <w:i/>
      <w:caps/>
      <w:spacing w:val="10"/>
      <w:sz w:val="18"/>
      <w:szCs w:val="18"/>
    </w:rPr>
  </w:style>
  <w:style w:type="paragraph" w:styleId="Caption">
    <w:name w:val="caption"/>
    <w:basedOn w:val="Normal"/>
    <w:next w:val="Normal"/>
    <w:uiPriority w:val="35"/>
    <w:semiHidden/>
    <w:unhideWhenUsed/>
    <w:qFormat/>
    <w:rsid w:val="00A23159"/>
    <w:rPr>
      <w:b/>
      <w:bCs/>
      <w:color w:val="365F91"/>
      <w:sz w:val="16"/>
      <w:szCs w:val="16"/>
    </w:rPr>
  </w:style>
  <w:style w:type="paragraph" w:styleId="Title">
    <w:name w:val="Title"/>
    <w:basedOn w:val="Normal"/>
    <w:next w:val="Normal"/>
    <w:link w:val="TitleChar"/>
    <w:uiPriority w:val="10"/>
    <w:qFormat/>
    <w:rsid w:val="00A23159"/>
    <w:pPr>
      <w:spacing w:before="720"/>
    </w:pPr>
    <w:rPr>
      <w:caps/>
      <w:color w:val="4F81BD"/>
      <w:spacing w:val="10"/>
      <w:kern w:val="28"/>
      <w:sz w:val="52"/>
      <w:szCs w:val="52"/>
    </w:rPr>
  </w:style>
  <w:style w:type="character" w:customStyle="1" w:styleId="TitleChar">
    <w:name w:val="Title Char"/>
    <w:link w:val="Title"/>
    <w:uiPriority w:val="10"/>
    <w:rsid w:val="00A23159"/>
    <w:rPr>
      <w:caps/>
      <w:color w:val="4F81BD"/>
      <w:spacing w:val="10"/>
      <w:kern w:val="28"/>
      <w:sz w:val="52"/>
      <w:szCs w:val="52"/>
    </w:rPr>
  </w:style>
  <w:style w:type="paragraph" w:styleId="Subtitle">
    <w:name w:val="Subtitle"/>
    <w:basedOn w:val="Normal"/>
    <w:next w:val="Normal"/>
    <w:link w:val="SubtitleChar"/>
    <w:uiPriority w:val="11"/>
    <w:qFormat/>
    <w:rsid w:val="00A23159"/>
    <w:pPr>
      <w:spacing w:after="1000" w:line="240" w:lineRule="auto"/>
    </w:pPr>
    <w:rPr>
      <w:caps/>
      <w:color w:val="595959"/>
      <w:spacing w:val="10"/>
      <w:sz w:val="24"/>
      <w:szCs w:val="24"/>
    </w:rPr>
  </w:style>
  <w:style w:type="character" w:customStyle="1" w:styleId="SubtitleChar">
    <w:name w:val="Subtitle Char"/>
    <w:link w:val="Subtitle"/>
    <w:uiPriority w:val="11"/>
    <w:rsid w:val="00A23159"/>
    <w:rPr>
      <w:caps/>
      <w:color w:val="595959"/>
      <w:spacing w:val="10"/>
      <w:sz w:val="24"/>
      <w:szCs w:val="24"/>
    </w:rPr>
  </w:style>
  <w:style w:type="character" w:styleId="Strong">
    <w:name w:val="Strong"/>
    <w:uiPriority w:val="22"/>
    <w:qFormat/>
    <w:rsid w:val="00A23159"/>
    <w:rPr>
      <w:b/>
      <w:bCs/>
    </w:rPr>
  </w:style>
  <w:style w:type="character" w:styleId="Emphasis">
    <w:name w:val="Emphasis"/>
    <w:uiPriority w:val="20"/>
    <w:qFormat/>
    <w:rsid w:val="00A23159"/>
    <w:rPr>
      <w:caps/>
      <w:color w:val="243F60"/>
      <w:spacing w:val="5"/>
    </w:rPr>
  </w:style>
  <w:style w:type="paragraph" w:styleId="NoSpacing">
    <w:name w:val="No Spacing"/>
    <w:basedOn w:val="Normal"/>
    <w:link w:val="NoSpacingChar"/>
    <w:uiPriority w:val="1"/>
    <w:qFormat/>
    <w:rsid w:val="00A23159"/>
    <w:pPr>
      <w:spacing w:before="0" w:after="0" w:line="240" w:lineRule="auto"/>
    </w:pPr>
  </w:style>
  <w:style w:type="character" w:customStyle="1" w:styleId="NoSpacingChar">
    <w:name w:val="No Spacing Char"/>
    <w:link w:val="NoSpacing"/>
    <w:uiPriority w:val="1"/>
    <w:rsid w:val="00A23159"/>
    <w:rPr>
      <w:sz w:val="20"/>
      <w:szCs w:val="20"/>
    </w:rPr>
  </w:style>
  <w:style w:type="paragraph" w:styleId="ListParagraph">
    <w:name w:val="List Paragraph"/>
    <w:basedOn w:val="Normal"/>
    <w:uiPriority w:val="34"/>
    <w:qFormat/>
    <w:rsid w:val="00A23159"/>
    <w:pPr>
      <w:ind w:left="720"/>
      <w:contextualSpacing/>
    </w:pPr>
  </w:style>
  <w:style w:type="paragraph" w:styleId="Quote">
    <w:name w:val="Quote"/>
    <w:basedOn w:val="Normal"/>
    <w:next w:val="Normal"/>
    <w:link w:val="QuoteChar"/>
    <w:uiPriority w:val="29"/>
    <w:qFormat/>
    <w:rsid w:val="00A23159"/>
    <w:rPr>
      <w:i/>
      <w:iCs/>
    </w:rPr>
  </w:style>
  <w:style w:type="character" w:customStyle="1" w:styleId="QuoteChar">
    <w:name w:val="Quote Char"/>
    <w:link w:val="Quote"/>
    <w:uiPriority w:val="29"/>
    <w:rsid w:val="00A23159"/>
    <w:rPr>
      <w:i/>
      <w:iCs/>
      <w:sz w:val="20"/>
      <w:szCs w:val="20"/>
    </w:rPr>
  </w:style>
  <w:style w:type="paragraph" w:styleId="IntenseQuote">
    <w:name w:val="Intense Quote"/>
    <w:basedOn w:val="Normal"/>
    <w:next w:val="Normal"/>
    <w:link w:val="IntenseQuoteChar"/>
    <w:uiPriority w:val="30"/>
    <w:qFormat/>
    <w:rsid w:val="00A23159"/>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A23159"/>
    <w:rPr>
      <w:i/>
      <w:iCs/>
      <w:color w:val="4F81BD"/>
      <w:sz w:val="20"/>
      <w:szCs w:val="20"/>
    </w:rPr>
  </w:style>
  <w:style w:type="character" w:styleId="SubtleEmphasis">
    <w:name w:val="Subtle Emphasis"/>
    <w:uiPriority w:val="19"/>
    <w:qFormat/>
    <w:rsid w:val="00A23159"/>
    <w:rPr>
      <w:i/>
      <w:iCs/>
      <w:color w:val="243F60"/>
    </w:rPr>
  </w:style>
  <w:style w:type="character" w:styleId="IntenseEmphasis">
    <w:name w:val="Intense Emphasis"/>
    <w:uiPriority w:val="21"/>
    <w:qFormat/>
    <w:rsid w:val="00A23159"/>
    <w:rPr>
      <w:b/>
      <w:bCs/>
      <w:caps/>
      <w:color w:val="243F60"/>
      <w:spacing w:val="10"/>
    </w:rPr>
  </w:style>
  <w:style w:type="character" w:styleId="SubtleReference">
    <w:name w:val="Subtle Reference"/>
    <w:uiPriority w:val="31"/>
    <w:qFormat/>
    <w:rsid w:val="00A23159"/>
    <w:rPr>
      <w:b/>
      <w:bCs/>
      <w:color w:val="4F81BD"/>
    </w:rPr>
  </w:style>
  <w:style w:type="character" w:styleId="IntenseReference">
    <w:name w:val="Intense Reference"/>
    <w:uiPriority w:val="32"/>
    <w:qFormat/>
    <w:rsid w:val="00A23159"/>
    <w:rPr>
      <w:b/>
      <w:bCs/>
      <w:i/>
      <w:iCs/>
      <w:caps/>
      <w:color w:val="4F81BD"/>
    </w:rPr>
  </w:style>
  <w:style w:type="character" w:styleId="BookTitle">
    <w:name w:val="Book Title"/>
    <w:uiPriority w:val="33"/>
    <w:qFormat/>
    <w:rsid w:val="00A23159"/>
    <w:rPr>
      <w:b/>
      <w:bCs/>
      <w:i/>
      <w:iCs/>
      <w:spacing w:val="9"/>
    </w:rPr>
  </w:style>
  <w:style w:type="paragraph" w:styleId="TOCHeading">
    <w:name w:val="TOC Heading"/>
    <w:basedOn w:val="Heading1"/>
    <w:next w:val="Normal"/>
    <w:uiPriority w:val="39"/>
    <w:semiHidden/>
    <w:unhideWhenUsed/>
    <w:qFormat/>
    <w:rsid w:val="00A23159"/>
    <w:pPr>
      <w:outlineLvl w:val="9"/>
    </w:pPr>
    <w:rPr>
      <w:lang w:bidi="en-US"/>
    </w:rPr>
  </w:style>
  <w:style w:type="table" w:styleId="TableGrid">
    <w:name w:val="Table Grid"/>
    <w:basedOn w:val="TableNormal"/>
    <w:rsid w:val="00701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1886"/>
    <w:pPr>
      <w:autoSpaceDE w:val="0"/>
      <w:autoSpaceDN w:val="0"/>
      <w:adjustRightInd w:val="0"/>
      <w:spacing w:before="200"/>
    </w:pPr>
    <w:rPr>
      <w:rFonts w:cs="Calibri"/>
      <w:color w:val="000000"/>
      <w:sz w:val="24"/>
      <w:szCs w:val="24"/>
      <w:lang w:val="en-NZ" w:eastAsia="en-US"/>
    </w:rPr>
  </w:style>
  <w:style w:type="table" w:styleId="TableGrid8">
    <w:name w:val="Table Grid 8"/>
    <w:basedOn w:val="TableNormal"/>
    <w:rsid w:val="001B497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link w:val="HeaderChar"/>
    <w:rsid w:val="002123D2"/>
    <w:pPr>
      <w:tabs>
        <w:tab w:val="center" w:pos="4513"/>
        <w:tab w:val="right" w:pos="9026"/>
      </w:tabs>
      <w:spacing w:before="0" w:after="0" w:line="240" w:lineRule="auto"/>
    </w:pPr>
  </w:style>
  <w:style w:type="character" w:customStyle="1" w:styleId="HeaderChar">
    <w:name w:val="Header Char"/>
    <w:link w:val="Header"/>
    <w:rsid w:val="002123D2"/>
    <w:rPr>
      <w:sz w:val="20"/>
      <w:szCs w:val="20"/>
    </w:rPr>
  </w:style>
  <w:style w:type="paragraph" w:styleId="Footer">
    <w:name w:val="footer"/>
    <w:basedOn w:val="Normal"/>
    <w:link w:val="FooterChar"/>
    <w:uiPriority w:val="99"/>
    <w:rsid w:val="002123D2"/>
    <w:pPr>
      <w:tabs>
        <w:tab w:val="center" w:pos="4513"/>
        <w:tab w:val="right" w:pos="9026"/>
      </w:tabs>
      <w:spacing w:before="0" w:after="0" w:line="240" w:lineRule="auto"/>
    </w:pPr>
  </w:style>
  <w:style w:type="character" w:customStyle="1" w:styleId="FooterChar">
    <w:name w:val="Footer Char"/>
    <w:link w:val="Footer"/>
    <w:uiPriority w:val="99"/>
    <w:rsid w:val="002123D2"/>
    <w:rPr>
      <w:sz w:val="20"/>
      <w:szCs w:val="20"/>
    </w:rPr>
  </w:style>
  <w:style w:type="paragraph" w:styleId="BalloonText">
    <w:name w:val="Balloon Text"/>
    <w:basedOn w:val="Normal"/>
    <w:link w:val="BalloonTextChar"/>
    <w:rsid w:val="002123D2"/>
    <w:pPr>
      <w:spacing w:before="0" w:after="0" w:line="240" w:lineRule="auto"/>
    </w:pPr>
    <w:rPr>
      <w:rFonts w:ascii="Tahoma" w:hAnsi="Tahoma" w:cs="Tahoma"/>
      <w:sz w:val="16"/>
      <w:szCs w:val="16"/>
    </w:rPr>
  </w:style>
  <w:style w:type="character" w:customStyle="1" w:styleId="BalloonTextChar">
    <w:name w:val="Balloon Text Char"/>
    <w:link w:val="BalloonText"/>
    <w:rsid w:val="002123D2"/>
    <w:rPr>
      <w:rFonts w:ascii="Tahoma" w:hAnsi="Tahoma" w:cs="Tahoma"/>
      <w:sz w:val="16"/>
      <w:szCs w:val="16"/>
    </w:rPr>
  </w:style>
  <w:style w:type="paragraph" w:styleId="NormalWeb">
    <w:name w:val="Normal (Web)"/>
    <w:basedOn w:val="Normal"/>
    <w:uiPriority w:val="99"/>
    <w:unhideWhenUsed/>
    <w:rsid w:val="00EA67C8"/>
    <w:pPr>
      <w:spacing w:before="0" w:after="0" w:line="240" w:lineRule="auto"/>
    </w:pPr>
    <w:rPr>
      <w:rFonts w:ascii="Times New Roman" w:eastAsia="Calibri" w:hAnsi="Times New Roman"/>
      <w:sz w:val="24"/>
      <w:szCs w:val="24"/>
      <w:lang w:eastAsia="en-NZ"/>
    </w:rPr>
  </w:style>
  <w:style w:type="character" w:styleId="CommentReference">
    <w:name w:val="annotation reference"/>
    <w:basedOn w:val="DefaultParagraphFont"/>
    <w:rsid w:val="00D476F5"/>
    <w:rPr>
      <w:sz w:val="16"/>
      <w:szCs w:val="16"/>
    </w:rPr>
  </w:style>
  <w:style w:type="paragraph" w:styleId="CommentText">
    <w:name w:val="annotation text"/>
    <w:basedOn w:val="Normal"/>
    <w:link w:val="CommentTextChar"/>
    <w:rsid w:val="00D476F5"/>
    <w:pPr>
      <w:spacing w:line="240" w:lineRule="auto"/>
    </w:pPr>
  </w:style>
  <w:style w:type="character" w:customStyle="1" w:styleId="CommentTextChar">
    <w:name w:val="Comment Text Char"/>
    <w:basedOn w:val="DefaultParagraphFont"/>
    <w:link w:val="CommentText"/>
    <w:rsid w:val="00D476F5"/>
    <w:rPr>
      <w:lang w:val="en-NZ" w:eastAsia="en-US"/>
    </w:rPr>
  </w:style>
  <w:style w:type="paragraph" w:styleId="CommentSubject">
    <w:name w:val="annotation subject"/>
    <w:basedOn w:val="CommentText"/>
    <w:next w:val="CommentText"/>
    <w:link w:val="CommentSubjectChar"/>
    <w:rsid w:val="00D476F5"/>
    <w:rPr>
      <w:b/>
      <w:bCs/>
    </w:rPr>
  </w:style>
  <w:style w:type="character" w:customStyle="1" w:styleId="CommentSubjectChar">
    <w:name w:val="Comment Subject Char"/>
    <w:basedOn w:val="CommentTextChar"/>
    <w:link w:val="CommentSubject"/>
    <w:rsid w:val="00D476F5"/>
    <w:rPr>
      <w:b/>
      <w:bCs/>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6410835">
      <w:bodyDiv w:val="1"/>
      <w:marLeft w:val="0"/>
      <w:marRight w:val="0"/>
      <w:marTop w:val="0"/>
      <w:marBottom w:val="0"/>
      <w:divBdr>
        <w:top w:val="none" w:sz="0" w:space="0" w:color="auto"/>
        <w:left w:val="none" w:sz="0" w:space="0" w:color="auto"/>
        <w:bottom w:val="none" w:sz="0" w:space="0" w:color="auto"/>
        <w:right w:val="none" w:sz="0" w:space="0" w:color="auto"/>
      </w:divBdr>
    </w:div>
    <w:div w:id="15447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792A-E982-4C6F-BAF7-18D799DA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496</Words>
  <Characters>2798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Brebner (CMDHB)</dc:creator>
  <cp:lastModifiedBy>Heather Harrison</cp:lastModifiedBy>
  <cp:revision>2</cp:revision>
  <dcterms:created xsi:type="dcterms:W3CDTF">2017-06-13T11:19:00Z</dcterms:created>
  <dcterms:modified xsi:type="dcterms:W3CDTF">2017-06-13T11:19:00Z</dcterms:modified>
</cp:coreProperties>
</file>