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59" w:rsidRDefault="00DC2D9F" w:rsidP="00A23159">
      <w:pPr>
        <w:pStyle w:val="Heading1"/>
      </w:pPr>
      <w:r w:rsidRPr="00701886">
        <w:rPr>
          <w:rFonts w:cs="Courier New"/>
          <w:sz w:val="20"/>
          <w:szCs w:val="20"/>
        </w:rPr>
        <w:t xml:space="preserve"> </w:t>
      </w:r>
      <w:r w:rsidR="009C2EEA">
        <w:t xml:space="preserve">Neuropathic AnalGESIC </w:t>
      </w:r>
      <w:proofErr w:type="gramStart"/>
      <w:r w:rsidR="009C2EEA">
        <w:t>PRESCRIBING</w:t>
      </w:r>
      <w:r w:rsidR="00D928C4">
        <w:t xml:space="preserve"> </w:t>
      </w:r>
      <w:r w:rsidR="00C21B6C">
        <w:t xml:space="preserve"> </w:t>
      </w:r>
      <w:r w:rsidR="00A23159">
        <w:t>Bundle</w:t>
      </w:r>
      <w:proofErr w:type="gramEnd"/>
      <w:r w:rsidR="00A23159">
        <w:t xml:space="preserve"> </w:t>
      </w:r>
      <w:r w:rsidR="00152580">
        <w:t xml:space="preserve"> ( NHS Fife version 1)</w:t>
      </w:r>
    </w:p>
    <w:p w:rsidR="00C779CF" w:rsidRDefault="00C779CF" w:rsidP="00C779CF">
      <w:pPr>
        <w:autoSpaceDE w:val="0"/>
        <w:autoSpaceDN w:val="0"/>
        <w:adjustRightInd w:val="0"/>
        <w:rPr>
          <w:rFonts w:cs="Calibri"/>
        </w:rPr>
      </w:pPr>
      <w:r w:rsidRPr="00862FC3">
        <w:rPr>
          <w:rFonts w:cs="Calibri"/>
        </w:rPr>
        <w:t xml:space="preserve">Practices will randomly sample of 10 patients per </w:t>
      </w:r>
      <w:r w:rsidR="00CB3690">
        <w:rPr>
          <w:rFonts w:cs="Calibri"/>
        </w:rPr>
        <w:t>Quarter</w:t>
      </w:r>
      <w:r w:rsidRPr="00862FC3">
        <w:rPr>
          <w:rFonts w:cs="Calibri"/>
        </w:rPr>
        <w:t xml:space="preserve"> </w:t>
      </w:r>
      <w:r w:rsidR="00E81B73">
        <w:rPr>
          <w:rFonts w:cs="Calibri"/>
        </w:rPr>
        <w:t xml:space="preserve">who have been prescribed </w:t>
      </w:r>
      <w:r w:rsidR="00791E52">
        <w:rPr>
          <w:rFonts w:cs="Calibri"/>
        </w:rPr>
        <w:t>neuropathic analgesic</w:t>
      </w:r>
      <w:r w:rsidR="00E81B73">
        <w:rPr>
          <w:rFonts w:cs="Calibri"/>
        </w:rPr>
        <w:t xml:space="preserve"> derived pain relief in the past 3 months</w:t>
      </w:r>
      <w:r w:rsidRPr="00862FC3">
        <w:rPr>
          <w:rFonts w:cs="Calibri"/>
        </w:rPr>
        <w:t>, to see if they are reliably receiving the following care:</w:t>
      </w:r>
    </w:p>
    <w:p w:rsidR="00791E52" w:rsidRDefault="00791E52" w:rsidP="00E93382">
      <w:pPr>
        <w:pBdr>
          <w:top w:val="single" w:sz="4" w:space="1" w:color="CC99FF"/>
          <w:left w:val="single" w:sz="4" w:space="4" w:color="CC99FF"/>
          <w:bottom w:val="single" w:sz="4" w:space="1" w:color="CC99FF"/>
          <w:right w:val="single" w:sz="4" w:space="4" w:color="CC99FF"/>
        </w:pBdr>
        <w:spacing w:line="240" w:lineRule="auto"/>
        <w:rPr>
          <w:noProof/>
        </w:rPr>
      </w:pPr>
      <w:r>
        <w:t xml:space="preserve">1.  </w:t>
      </w:r>
      <w:r w:rsidRPr="00CA28C1">
        <w:rPr>
          <w:noProof/>
        </w:rPr>
        <w:t xml:space="preserve">Is there a clear </w:t>
      </w:r>
      <w:r>
        <w:rPr>
          <w:noProof/>
        </w:rPr>
        <w:t xml:space="preserve">neuropathic pain </w:t>
      </w:r>
      <w:r w:rsidRPr="00CA28C1">
        <w:rPr>
          <w:noProof/>
        </w:rPr>
        <w:t>indication documented and coded?</w:t>
      </w:r>
    </w:p>
    <w:p w:rsidR="00791E52" w:rsidRDefault="00791E52" w:rsidP="00E93382">
      <w:pPr>
        <w:pBdr>
          <w:top w:val="single" w:sz="4" w:space="1" w:color="CC99FF"/>
          <w:left w:val="single" w:sz="4" w:space="4" w:color="CC99FF"/>
          <w:bottom w:val="single" w:sz="4" w:space="1" w:color="CC99FF"/>
          <w:right w:val="single" w:sz="4" w:space="4" w:color="CC99FF"/>
        </w:pBdr>
        <w:spacing w:line="240" w:lineRule="auto"/>
      </w:pPr>
      <w:r>
        <w:t xml:space="preserve">2.  </w:t>
      </w:r>
      <w:proofErr w:type="gramStart"/>
      <w:r>
        <w:t>Is</w:t>
      </w:r>
      <w:proofErr w:type="gramEnd"/>
      <w:r>
        <w:t xml:space="preserve"> there a clear management plan including non pharmacological </w:t>
      </w:r>
      <w:r w:rsidR="00465BE9">
        <w:t>strategy</w:t>
      </w:r>
      <w:r>
        <w:t>?</w:t>
      </w:r>
    </w:p>
    <w:p w:rsidR="00791E52" w:rsidRDefault="00791E52" w:rsidP="00E93382">
      <w:pPr>
        <w:pBdr>
          <w:top w:val="single" w:sz="4" w:space="1" w:color="CC99FF"/>
          <w:left w:val="single" w:sz="4" w:space="4" w:color="CC99FF"/>
          <w:bottom w:val="single" w:sz="4" w:space="1" w:color="CC99FF"/>
          <w:right w:val="single" w:sz="4" w:space="4" w:color="CC99FF"/>
        </w:pBdr>
        <w:spacing w:line="240" w:lineRule="auto"/>
      </w:pPr>
      <w:proofErr w:type="gramStart"/>
      <w:r>
        <w:t>3</w:t>
      </w:r>
      <w:r w:rsidR="001C2DA2" w:rsidRPr="001C2DA2">
        <w:t xml:space="preserve"> </w:t>
      </w:r>
      <w:r w:rsidR="00BA155B">
        <w:t>.</w:t>
      </w:r>
      <w:proofErr w:type="gramEnd"/>
      <w:r w:rsidR="00BA155B">
        <w:t xml:space="preserve"> </w:t>
      </w:r>
      <w:r w:rsidR="001C2DA2" w:rsidRPr="00CA28C1">
        <w:t xml:space="preserve">Is there evidence that </w:t>
      </w:r>
      <w:r w:rsidR="001C2DA2">
        <w:t>neuropathic prescribing</w:t>
      </w:r>
      <w:r w:rsidR="001C2DA2" w:rsidRPr="00CA28C1">
        <w:t xml:space="preserve"> has been used in accordance with local pain guidance</w:t>
      </w:r>
      <w:r w:rsidR="001C2DA2">
        <w:t>?</w:t>
      </w:r>
    </w:p>
    <w:p w:rsidR="00791E52" w:rsidRDefault="00791E52" w:rsidP="00E93382">
      <w:pPr>
        <w:pBdr>
          <w:top w:val="single" w:sz="4" w:space="1" w:color="CC99FF"/>
          <w:left w:val="single" w:sz="4" w:space="4" w:color="CC99FF"/>
          <w:bottom w:val="single" w:sz="4" w:space="1" w:color="CC99FF"/>
          <w:right w:val="single" w:sz="4" w:space="4" w:color="CC99FF"/>
        </w:pBdr>
        <w:spacing w:line="240" w:lineRule="auto"/>
      </w:pPr>
      <w:r>
        <w:t xml:space="preserve">4.  </w:t>
      </w:r>
      <w:r w:rsidR="001C2DA2">
        <w:t>Has there been a documented discussion about the risks and benefits and possible dependency if applicable?</w:t>
      </w:r>
    </w:p>
    <w:p w:rsidR="00791E52" w:rsidRDefault="00791E52" w:rsidP="00E93382">
      <w:pPr>
        <w:pBdr>
          <w:top w:val="single" w:sz="4" w:space="1" w:color="CC99FF"/>
          <w:left w:val="single" w:sz="4" w:space="4" w:color="CC99FF"/>
          <w:bottom w:val="single" w:sz="4" w:space="1" w:color="CC99FF"/>
          <w:right w:val="single" w:sz="4" w:space="4" w:color="CC99FF"/>
        </w:pBdr>
        <w:spacing w:line="240" w:lineRule="auto"/>
      </w:pPr>
      <w:r>
        <w:t>5. Has prescribing been reviewed</w:t>
      </w:r>
      <w:r w:rsidR="00CC5E81">
        <w:t xml:space="preserve"> in an appropriate time frame for compliance</w:t>
      </w:r>
      <w:r>
        <w:t xml:space="preserve">, efficacy, tolerability and </w:t>
      </w:r>
      <w:r w:rsidR="00BA155B">
        <w:t>risk including</w:t>
      </w:r>
      <w:r>
        <w:t xml:space="preserve"> an attempt at </w:t>
      </w:r>
      <w:r w:rsidRPr="00A15039">
        <w:t xml:space="preserve">a graded dose reduction and possible withdrawal to assess ongoing </w:t>
      </w:r>
      <w:proofErr w:type="gramStart"/>
      <w:r w:rsidRPr="00A15039">
        <w:t>need</w:t>
      </w:r>
      <w:r>
        <w:t xml:space="preserve"> ?</w:t>
      </w:r>
      <w:proofErr w:type="gramEnd"/>
    </w:p>
    <w:p w:rsidR="00D476F5" w:rsidRPr="00D52BB7" w:rsidRDefault="00D476F5" w:rsidP="00D476F5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4A0"/>
      </w:tblPr>
      <w:tblGrid>
        <w:gridCol w:w="1161"/>
        <w:gridCol w:w="1782"/>
        <w:gridCol w:w="2410"/>
        <w:gridCol w:w="4253"/>
        <w:gridCol w:w="60"/>
      </w:tblGrid>
      <w:tr w:rsidR="003F79CD" w:rsidRPr="00862FC3" w:rsidTr="00530742">
        <w:tc>
          <w:tcPr>
            <w:tcW w:w="1161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365F91"/>
          </w:tcPr>
          <w:p w:rsidR="003F79CD" w:rsidRPr="00862FC3" w:rsidRDefault="003F79CD" w:rsidP="00862FC3">
            <w:pPr>
              <w:pStyle w:val="PlainText"/>
              <w:spacing w:after="0"/>
              <w:rPr>
                <w:rFonts w:ascii="Calibri" w:hAnsi="Calibri" w:cs="Courier Ne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bCs/>
                <w:color w:val="FFFFFF"/>
                <w:sz w:val="20"/>
                <w:szCs w:val="20"/>
              </w:rPr>
              <w:t>Key Area</w:t>
            </w:r>
          </w:p>
        </w:tc>
        <w:tc>
          <w:tcPr>
            <w:tcW w:w="1782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365F91"/>
          </w:tcPr>
          <w:p w:rsidR="003F79CD" w:rsidRPr="00862FC3" w:rsidRDefault="003F79CD" w:rsidP="00862FC3">
            <w:pPr>
              <w:pStyle w:val="PlainText"/>
              <w:spacing w:after="0"/>
              <w:rPr>
                <w:rFonts w:ascii="Calibri" w:hAnsi="Calibri" w:cs="Courier New"/>
                <w:b/>
                <w:bCs/>
                <w:color w:val="FFFFFF"/>
                <w:sz w:val="20"/>
                <w:szCs w:val="20"/>
              </w:rPr>
            </w:pPr>
            <w:r w:rsidRPr="00862FC3">
              <w:rPr>
                <w:rFonts w:ascii="Calibri" w:hAnsi="Calibri" w:cs="Courier New"/>
                <w:b/>
                <w:bCs/>
                <w:color w:val="FFFFFF"/>
                <w:sz w:val="20"/>
                <w:szCs w:val="20"/>
              </w:rPr>
              <w:t>Measure</w:t>
            </w:r>
          </w:p>
        </w:tc>
        <w:tc>
          <w:tcPr>
            <w:tcW w:w="241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365F91"/>
          </w:tcPr>
          <w:p w:rsidR="003F79CD" w:rsidRPr="00862FC3" w:rsidRDefault="003F79CD" w:rsidP="00701886">
            <w:pPr>
              <w:pStyle w:val="PlainText"/>
              <w:rPr>
                <w:rFonts w:ascii="Calibri" w:hAnsi="Calibri" w:cs="Courier New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bCs/>
                <w:color w:val="FFFFFF"/>
                <w:sz w:val="20"/>
                <w:szCs w:val="20"/>
              </w:rPr>
              <w:t>To meet criteria</w:t>
            </w:r>
          </w:p>
        </w:tc>
        <w:tc>
          <w:tcPr>
            <w:tcW w:w="4313" w:type="dxa"/>
            <w:gridSpan w:val="2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365F91"/>
          </w:tcPr>
          <w:p w:rsidR="003F79CD" w:rsidRPr="00862FC3" w:rsidRDefault="003F79CD" w:rsidP="00701886">
            <w:pPr>
              <w:pStyle w:val="PlainText"/>
              <w:rPr>
                <w:rFonts w:ascii="Calibri" w:hAnsi="Calibri" w:cs="Courier New"/>
                <w:b/>
                <w:bCs/>
                <w:color w:val="FFFFFF"/>
                <w:sz w:val="20"/>
                <w:szCs w:val="20"/>
              </w:rPr>
            </w:pPr>
            <w:r w:rsidRPr="00862FC3">
              <w:rPr>
                <w:rFonts w:ascii="Calibri" w:hAnsi="Calibri" w:cs="Courier New"/>
                <w:b/>
                <w:bCs/>
                <w:color w:val="FFFFFF"/>
                <w:sz w:val="20"/>
                <w:szCs w:val="20"/>
              </w:rPr>
              <w:t xml:space="preserve">Rationale </w:t>
            </w:r>
          </w:p>
        </w:tc>
      </w:tr>
      <w:tr w:rsidR="003F79CD" w:rsidRPr="00862FC3" w:rsidTr="00530742">
        <w:trPr>
          <w:gridAfter w:val="1"/>
          <w:wAfter w:w="60" w:type="dxa"/>
        </w:trPr>
        <w:tc>
          <w:tcPr>
            <w:tcW w:w="1161" w:type="dxa"/>
            <w:tcBorders>
              <w:top w:val="single" w:sz="6" w:space="0" w:color="0070C0"/>
            </w:tcBorders>
          </w:tcPr>
          <w:p w:rsidR="003F79CD" w:rsidRPr="00D52BB7" w:rsidRDefault="003F79CD" w:rsidP="005D3F25">
            <w:pPr>
              <w:pStyle w:val="PlainText"/>
              <w:spacing w:before="0" w:after="0"/>
              <w:rPr>
                <w:rFonts w:ascii="Calibri" w:hAnsi="Calibri" w:cs="Calibri"/>
                <w:iCs/>
                <w:sz w:val="16"/>
                <w:szCs w:val="20"/>
              </w:rPr>
            </w:pPr>
            <w:r>
              <w:rPr>
                <w:rFonts w:ascii="Calibri" w:hAnsi="Calibri" w:cs="Calibri"/>
                <w:iCs/>
                <w:sz w:val="16"/>
                <w:szCs w:val="20"/>
              </w:rPr>
              <w:t>Indication</w:t>
            </w:r>
            <w:r w:rsidR="005E3138">
              <w:rPr>
                <w:rFonts w:ascii="Calibri" w:hAnsi="Calibri" w:cs="Calibri"/>
                <w:iCs/>
                <w:sz w:val="16"/>
                <w:szCs w:val="20"/>
              </w:rPr>
              <w:t xml:space="preserve"> and assessment</w:t>
            </w:r>
          </w:p>
        </w:tc>
        <w:tc>
          <w:tcPr>
            <w:tcW w:w="1782" w:type="dxa"/>
            <w:tcBorders>
              <w:top w:val="single" w:sz="6" w:space="0" w:color="0070C0"/>
            </w:tcBorders>
            <w:shd w:val="clear" w:color="auto" w:fill="auto"/>
          </w:tcPr>
          <w:p w:rsidR="003F79CD" w:rsidRPr="00E81B73" w:rsidRDefault="00791E52" w:rsidP="00E93382">
            <w:pPr>
              <w:pStyle w:val="PlainText"/>
              <w:spacing w:before="0" w:after="0" w:line="240" w:lineRule="auto"/>
              <w:rPr>
                <w:rFonts w:ascii="Calibri" w:hAnsi="Calibri" w:cs="Calibri"/>
                <w:iCs/>
                <w:sz w:val="16"/>
                <w:szCs w:val="20"/>
              </w:rPr>
            </w:pPr>
            <w:r w:rsidRPr="005D3F25">
              <w:rPr>
                <w:rFonts w:ascii="Calibri" w:hAnsi="Calibri" w:cs="Calibri"/>
                <w:iCs/>
                <w:sz w:val="16"/>
                <w:szCs w:val="20"/>
              </w:rPr>
              <w:t>Is there a clear neuropathic pain indication documented and coded?</w:t>
            </w:r>
          </w:p>
        </w:tc>
        <w:tc>
          <w:tcPr>
            <w:tcW w:w="2410" w:type="dxa"/>
            <w:tcBorders>
              <w:top w:val="single" w:sz="6" w:space="0" w:color="0070C0"/>
            </w:tcBorders>
          </w:tcPr>
          <w:p w:rsidR="00E93382" w:rsidRDefault="005D3F25" w:rsidP="00E93382">
            <w:pPr>
              <w:pStyle w:val="Default"/>
              <w:spacing w:befor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 xml:space="preserve">Evidence of assessment to </w:t>
            </w:r>
            <w:r w:rsidR="00317E62">
              <w:rPr>
                <w:rFonts w:cs="Courier New"/>
                <w:sz w:val="16"/>
                <w:szCs w:val="16"/>
              </w:rPr>
              <w:t>confirm neuropathic</w:t>
            </w:r>
            <w:r>
              <w:rPr>
                <w:rFonts w:cs="Courier New"/>
                <w:sz w:val="16"/>
                <w:szCs w:val="16"/>
              </w:rPr>
              <w:t xml:space="preserve"> pain</w:t>
            </w:r>
            <w:r w:rsidR="00E93382">
              <w:rPr>
                <w:rFonts w:cs="Courier New"/>
                <w:sz w:val="16"/>
                <w:szCs w:val="16"/>
              </w:rPr>
              <w:t>.</w:t>
            </w:r>
          </w:p>
          <w:p w:rsidR="003F79CD" w:rsidRDefault="003F79CD" w:rsidP="00F27ADA">
            <w:pPr>
              <w:pStyle w:val="Default"/>
              <w:spacing w:befor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 xml:space="preserve">Clear indication for the </w:t>
            </w:r>
            <w:r w:rsidR="00791E52">
              <w:rPr>
                <w:rFonts w:cs="Courier New"/>
                <w:sz w:val="16"/>
                <w:szCs w:val="16"/>
              </w:rPr>
              <w:t>analgesic</w:t>
            </w:r>
            <w:r>
              <w:rPr>
                <w:rFonts w:cs="Courier New"/>
                <w:sz w:val="16"/>
                <w:szCs w:val="16"/>
              </w:rPr>
              <w:t xml:space="preserve"> use should be documented in the patient notes </w:t>
            </w:r>
            <w:r w:rsidRPr="00D52BB7">
              <w:rPr>
                <w:rFonts w:cs="Courier New"/>
                <w:sz w:val="16"/>
                <w:szCs w:val="16"/>
              </w:rPr>
              <w:t xml:space="preserve">If the patient has had pain for more than 12 weeks the read code 1M52. </w:t>
            </w:r>
            <w:proofErr w:type="gramStart"/>
            <w:r w:rsidRPr="00D52BB7">
              <w:rPr>
                <w:rFonts w:cs="Courier New"/>
                <w:sz w:val="16"/>
                <w:szCs w:val="16"/>
              </w:rPr>
              <w:t>should</w:t>
            </w:r>
            <w:proofErr w:type="gramEnd"/>
            <w:r w:rsidRPr="00D52BB7">
              <w:rPr>
                <w:rFonts w:cs="Courier New"/>
                <w:sz w:val="16"/>
                <w:szCs w:val="16"/>
              </w:rPr>
              <w:t xml:space="preserve"> be added to their notes if not coded already.</w:t>
            </w:r>
          </w:p>
        </w:tc>
        <w:tc>
          <w:tcPr>
            <w:tcW w:w="4253" w:type="dxa"/>
            <w:tcBorders>
              <w:top w:val="single" w:sz="6" w:space="0" w:color="0070C0"/>
            </w:tcBorders>
            <w:shd w:val="clear" w:color="auto" w:fill="auto"/>
          </w:tcPr>
          <w:p w:rsidR="003F79CD" w:rsidRPr="00E81B73" w:rsidRDefault="003F79CD" w:rsidP="00CC5E81">
            <w:pPr>
              <w:pStyle w:val="Default"/>
              <w:spacing w:before="0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Coding for chronic pain</w:t>
            </w:r>
            <w:r w:rsidR="00CB3690">
              <w:rPr>
                <w:rFonts w:cs="Courier New"/>
                <w:sz w:val="16"/>
                <w:szCs w:val="16"/>
              </w:rPr>
              <w:t xml:space="preserve"> </w:t>
            </w:r>
            <w:r w:rsidRPr="00990962">
              <w:rPr>
                <w:rFonts w:cs="Courier New"/>
                <w:sz w:val="16"/>
                <w:szCs w:val="16"/>
              </w:rPr>
              <w:t>will allow audit and review, and begin the process of implementing and measuring other improvements.</w:t>
            </w:r>
          </w:p>
        </w:tc>
      </w:tr>
      <w:tr w:rsidR="003F79CD" w:rsidRPr="00862FC3" w:rsidTr="00530742">
        <w:trPr>
          <w:gridAfter w:val="1"/>
          <w:wAfter w:w="60" w:type="dxa"/>
          <w:trHeight w:val="782"/>
        </w:trPr>
        <w:tc>
          <w:tcPr>
            <w:tcW w:w="1161" w:type="dxa"/>
          </w:tcPr>
          <w:p w:rsidR="003F79CD" w:rsidRPr="00D52BB7" w:rsidRDefault="005E3138" w:rsidP="005D3F25">
            <w:pPr>
              <w:pStyle w:val="PlainText"/>
              <w:spacing w:before="0" w:after="0"/>
              <w:rPr>
                <w:rFonts w:ascii="Calibri" w:hAnsi="Calibri" w:cs="Calibri"/>
                <w:iCs/>
                <w:sz w:val="16"/>
                <w:szCs w:val="20"/>
              </w:rPr>
            </w:pPr>
            <w:r>
              <w:rPr>
                <w:rFonts w:ascii="Calibri" w:hAnsi="Calibri" w:cs="Calibri"/>
                <w:iCs/>
                <w:sz w:val="16"/>
                <w:szCs w:val="20"/>
              </w:rPr>
              <w:t>Management Plan</w:t>
            </w:r>
          </w:p>
        </w:tc>
        <w:tc>
          <w:tcPr>
            <w:tcW w:w="1782" w:type="dxa"/>
            <w:shd w:val="clear" w:color="auto" w:fill="auto"/>
          </w:tcPr>
          <w:p w:rsidR="003F79CD" w:rsidRPr="00E81B73" w:rsidRDefault="003F79CD" w:rsidP="00F27ADA">
            <w:pPr>
              <w:pStyle w:val="PlainText"/>
              <w:spacing w:before="0" w:after="0" w:line="240" w:lineRule="auto"/>
              <w:rPr>
                <w:rFonts w:ascii="Calibri" w:hAnsi="Calibri" w:cs="Calibri"/>
                <w:iCs/>
                <w:sz w:val="16"/>
                <w:szCs w:val="20"/>
              </w:rPr>
            </w:pPr>
            <w:r w:rsidRPr="00D52BB7">
              <w:rPr>
                <w:rFonts w:ascii="Calibri" w:hAnsi="Calibri" w:cs="Calibri"/>
                <w:iCs/>
                <w:sz w:val="16"/>
                <w:szCs w:val="20"/>
              </w:rPr>
              <w:t xml:space="preserve">Is there </w:t>
            </w:r>
            <w:r w:rsidR="00791E52" w:rsidRPr="00D52BB7">
              <w:rPr>
                <w:rFonts w:ascii="Calibri" w:hAnsi="Calibri" w:cs="Calibri"/>
                <w:iCs/>
                <w:sz w:val="16"/>
                <w:szCs w:val="20"/>
              </w:rPr>
              <w:t xml:space="preserve">a clear management plan including non-pharmacological </w:t>
            </w:r>
            <w:r w:rsidR="009E4D23">
              <w:rPr>
                <w:rFonts w:ascii="Calibri" w:hAnsi="Calibri" w:cs="Calibri"/>
                <w:iCs/>
                <w:sz w:val="16"/>
                <w:szCs w:val="20"/>
              </w:rPr>
              <w:t>strategy</w:t>
            </w:r>
            <w:r w:rsidR="00791E52" w:rsidRPr="00D52BB7">
              <w:rPr>
                <w:rFonts w:ascii="Calibri" w:hAnsi="Calibri" w:cs="Calibri"/>
                <w:iCs/>
                <w:sz w:val="16"/>
                <w:szCs w:val="20"/>
              </w:rPr>
              <w:t>?</w:t>
            </w:r>
          </w:p>
        </w:tc>
        <w:tc>
          <w:tcPr>
            <w:tcW w:w="2410" w:type="dxa"/>
          </w:tcPr>
          <w:p w:rsidR="004C619C" w:rsidRDefault="005D3F25" w:rsidP="00E93382">
            <w:pPr>
              <w:spacing w:before="0" w:line="240" w:lineRule="auto"/>
              <w:rPr>
                <w:lang w:val="en-GB" w:eastAsia="en-GB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Evidence of clear pharmacological plan and signposting for non-pharmacological strategies/self management approach</w:t>
            </w:r>
          </w:p>
        </w:tc>
        <w:tc>
          <w:tcPr>
            <w:tcW w:w="4253" w:type="dxa"/>
            <w:shd w:val="clear" w:color="auto" w:fill="auto"/>
          </w:tcPr>
          <w:p w:rsidR="003F79CD" w:rsidRPr="00E81B73" w:rsidRDefault="005D3F25" w:rsidP="00E933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ourier New"/>
                <w:b/>
                <w:sz w:val="16"/>
              </w:rPr>
            </w:pPr>
            <w:r w:rsidRPr="00947D15">
              <w:rPr>
                <w:rFonts w:cs="Courier New"/>
                <w:color w:val="000000"/>
                <w:sz w:val="16"/>
                <w:szCs w:val="16"/>
              </w:rPr>
              <w:t xml:space="preserve">SIGN 136 recommends </w:t>
            </w:r>
            <w:r>
              <w:rPr>
                <w:rFonts w:cs="Courier New"/>
                <w:color w:val="000000"/>
                <w:sz w:val="16"/>
                <w:szCs w:val="16"/>
              </w:rPr>
              <w:t>e</w:t>
            </w:r>
            <w:r w:rsidRPr="00947D15">
              <w:rPr>
                <w:rFonts w:cs="Courier New"/>
                <w:color w:val="000000"/>
                <w:sz w:val="16"/>
                <w:szCs w:val="16"/>
              </w:rPr>
              <w:t>xercise and exercise therapies, regardless of their form</w:t>
            </w:r>
            <w:r>
              <w:rPr>
                <w:rFonts w:cs="Courier New"/>
                <w:color w:val="000000"/>
                <w:sz w:val="16"/>
                <w:szCs w:val="16"/>
              </w:rPr>
              <w:t xml:space="preserve"> and self management for</w:t>
            </w:r>
            <w:r w:rsidRPr="00947D15">
              <w:rPr>
                <w:rFonts w:cs="Courier New"/>
                <w:color w:val="000000"/>
                <w:sz w:val="16"/>
                <w:szCs w:val="16"/>
              </w:rPr>
              <w:t xml:space="preserve"> patients with chronic pain</w:t>
            </w:r>
            <w:r w:rsidR="00E93382">
              <w:rPr>
                <w:rFonts w:cs="Courier New"/>
                <w:color w:val="000000"/>
                <w:sz w:val="16"/>
                <w:szCs w:val="16"/>
              </w:rPr>
              <w:t>.</w:t>
            </w:r>
          </w:p>
        </w:tc>
      </w:tr>
      <w:tr w:rsidR="001C2DA2" w:rsidRPr="00862FC3" w:rsidTr="00530742">
        <w:trPr>
          <w:gridAfter w:val="1"/>
          <w:wAfter w:w="60" w:type="dxa"/>
        </w:trPr>
        <w:tc>
          <w:tcPr>
            <w:tcW w:w="1161" w:type="dxa"/>
          </w:tcPr>
          <w:p w:rsidR="001C2DA2" w:rsidRDefault="001C2DA2" w:rsidP="005D3F25">
            <w:pPr>
              <w:pStyle w:val="PlainText"/>
              <w:spacing w:before="0" w:after="0"/>
              <w:rPr>
                <w:rFonts w:ascii="Calibri" w:hAnsi="Calibri" w:cs="Calibri"/>
                <w:iCs/>
                <w:sz w:val="16"/>
                <w:szCs w:val="20"/>
              </w:rPr>
            </w:pPr>
            <w:r>
              <w:rPr>
                <w:rFonts w:ascii="Calibri" w:hAnsi="Calibri" w:cs="Calibri"/>
                <w:iCs/>
                <w:sz w:val="16"/>
                <w:szCs w:val="20"/>
              </w:rPr>
              <w:t>Prescription</w:t>
            </w:r>
            <w:r w:rsidR="00115E24">
              <w:rPr>
                <w:rFonts w:ascii="Calibri" w:hAnsi="Calibri" w:cs="Calibri"/>
                <w:iCs/>
                <w:sz w:val="16"/>
                <w:szCs w:val="20"/>
              </w:rPr>
              <w:t xml:space="preserve"> Initiation &amp; </w:t>
            </w:r>
            <w:r>
              <w:rPr>
                <w:rFonts w:ascii="Calibri" w:hAnsi="Calibri" w:cs="Calibri"/>
                <w:iCs/>
                <w:sz w:val="16"/>
                <w:szCs w:val="20"/>
              </w:rPr>
              <w:t xml:space="preserve"> Management</w:t>
            </w:r>
          </w:p>
        </w:tc>
        <w:tc>
          <w:tcPr>
            <w:tcW w:w="1782" w:type="dxa"/>
            <w:shd w:val="clear" w:color="auto" w:fill="auto"/>
          </w:tcPr>
          <w:p w:rsidR="001C2DA2" w:rsidRPr="005D3F25" w:rsidRDefault="001C2DA2" w:rsidP="00E93382">
            <w:pPr>
              <w:pStyle w:val="PlainText"/>
              <w:spacing w:before="0" w:after="0" w:line="240" w:lineRule="auto"/>
              <w:rPr>
                <w:rFonts w:ascii="Calibri" w:hAnsi="Calibri" w:cs="Calibri"/>
                <w:iCs/>
                <w:sz w:val="16"/>
                <w:szCs w:val="20"/>
              </w:rPr>
            </w:pPr>
            <w:r w:rsidRPr="005E3138">
              <w:rPr>
                <w:rFonts w:ascii="Calibri" w:hAnsi="Calibri" w:cs="Calibri"/>
                <w:iCs/>
                <w:sz w:val="16"/>
                <w:szCs w:val="20"/>
              </w:rPr>
              <w:t>Is there evidence that neuropathic prescribing has been used in accordance with local pain guidance?</w:t>
            </w:r>
          </w:p>
        </w:tc>
        <w:tc>
          <w:tcPr>
            <w:tcW w:w="2410" w:type="dxa"/>
          </w:tcPr>
          <w:p w:rsidR="001C2DA2" w:rsidRDefault="001C2DA2" w:rsidP="00530742">
            <w:pPr>
              <w:pStyle w:val="PlainText"/>
              <w:numPr>
                <w:ilvl w:val="0"/>
                <w:numId w:val="7"/>
              </w:numPr>
              <w:spacing w:before="0" w:after="0"/>
              <w:ind w:left="317" w:hanging="142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Evidence of conforming to local formulary choices</w:t>
            </w:r>
          </w:p>
          <w:p w:rsidR="001C2DA2" w:rsidRDefault="001C2DA2" w:rsidP="00530742">
            <w:pPr>
              <w:pStyle w:val="PlainText"/>
              <w:numPr>
                <w:ilvl w:val="0"/>
                <w:numId w:val="7"/>
              </w:numPr>
              <w:spacing w:before="0" w:after="0"/>
              <w:ind w:left="317" w:hanging="142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Assessment of renal function and appropriate dose</w:t>
            </w:r>
          </w:p>
          <w:p w:rsidR="001C2DA2" w:rsidRDefault="001C2DA2" w:rsidP="00530742">
            <w:pPr>
              <w:pStyle w:val="PlainText"/>
              <w:numPr>
                <w:ilvl w:val="0"/>
                <w:numId w:val="7"/>
              </w:numPr>
              <w:spacing w:before="0" w:after="0"/>
              <w:ind w:left="317" w:hanging="142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Consideration of concomitant high risk medicines  ( e.g. opioids/</w:t>
            </w:r>
            <w:r w:rsidR="00DA7C02">
              <w:rPr>
                <w:rFonts w:ascii="Calibri" w:hAnsi="Calibri" w:cs="Courier New"/>
                <w:sz w:val="16"/>
                <w:szCs w:val="16"/>
              </w:rPr>
              <w:t xml:space="preserve"> benzodiazepines)</w:t>
            </w:r>
          </w:p>
          <w:p w:rsidR="001C2DA2" w:rsidRDefault="001C2DA2" w:rsidP="00E933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ourier New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C2DA2" w:rsidRDefault="00523F5B" w:rsidP="00523F5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 xml:space="preserve">Formulary guidance supports </w:t>
            </w:r>
            <w:r w:rsidR="004F2559">
              <w:rPr>
                <w:rFonts w:cs="Courier New"/>
                <w:sz w:val="16"/>
                <w:szCs w:val="16"/>
              </w:rPr>
              <w:t>e</w:t>
            </w:r>
            <w:r w:rsidR="001C2DA2">
              <w:rPr>
                <w:rFonts w:cs="Courier New"/>
                <w:sz w:val="16"/>
                <w:szCs w:val="16"/>
              </w:rPr>
              <w:t xml:space="preserve">vidence based cost effective prescribing </w:t>
            </w:r>
          </w:p>
          <w:p w:rsidR="00523F5B" w:rsidRDefault="00523F5B" w:rsidP="00523F5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Dosage reductions required in renal impairment as per SPC</w:t>
            </w:r>
          </w:p>
          <w:p w:rsidR="00115E24" w:rsidRDefault="00523F5B" w:rsidP="00523F5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Increasing  concern and growing evidence implicating  gabapentinoids  in drug related deaths</w:t>
            </w:r>
          </w:p>
          <w:p w:rsidR="00523F5B" w:rsidRDefault="00115E24" w:rsidP="005307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ourier New"/>
                <w:color w:val="000000"/>
                <w:sz w:val="16"/>
                <w:szCs w:val="16"/>
              </w:rPr>
            </w:pPr>
            <w:r w:rsidRPr="00E93382">
              <w:rPr>
                <w:sz w:val="16"/>
                <w:szCs w:val="16"/>
              </w:rPr>
              <w:t>N.B.</w:t>
            </w:r>
            <w:r>
              <w:rPr>
                <w:sz w:val="16"/>
                <w:szCs w:val="16"/>
              </w:rPr>
              <w:t xml:space="preserve"> </w:t>
            </w:r>
            <w:r w:rsidRPr="00E93382">
              <w:rPr>
                <w:sz w:val="16"/>
                <w:szCs w:val="16"/>
              </w:rPr>
              <w:t xml:space="preserve">Consideration should be given to starting doses and </w:t>
            </w:r>
            <w:r w:rsidR="00530742" w:rsidRPr="00E93382">
              <w:rPr>
                <w:sz w:val="16"/>
                <w:szCs w:val="16"/>
              </w:rPr>
              <w:t>frequencies of increments- e.g. initiate</w:t>
            </w:r>
            <w:r w:rsidR="00530742">
              <w:rPr>
                <w:sz w:val="16"/>
                <w:szCs w:val="16"/>
              </w:rPr>
              <w:t xml:space="preserve"> with lower strength and/</w:t>
            </w:r>
            <w:proofErr w:type="gramStart"/>
            <w:r w:rsidR="00530742">
              <w:rPr>
                <w:sz w:val="16"/>
                <w:szCs w:val="16"/>
              </w:rPr>
              <w:t>or  titrate</w:t>
            </w:r>
            <w:proofErr w:type="gramEnd"/>
            <w:r w:rsidR="00530742">
              <w:rPr>
                <w:sz w:val="16"/>
                <w:szCs w:val="16"/>
              </w:rPr>
              <w:t xml:space="preserve"> weekly rat</w:t>
            </w:r>
            <w:r>
              <w:rPr>
                <w:sz w:val="16"/>
                <w:szCs w:val="16"/>
              </w:rPr>
              <w:t xml:space="preserve">her than daily. </w:t>
            </w:r>
            <w:r w:rsidRPr="00E93382">
              <w:rPr>
                <w:sz w:val="16"/>
                <w:szCs w:val="16"/>
              </w:rPr>
              <w:t>Dose should be titrated</w:t>
            </w:r>
            <w:r>
              <w:rPr>
                <w:sz w:val="16"/>
                <w:szCs w:val="16"/>
              </w:rPr>
              <w:t xml:space="preserve"> to lowest dose that achieves useful pain reduction </w:t>
            </w:r>
            <w:r w:rsidRPr="00E93382">
              <w:rPr>
                <w:sz w:val="16"/>
                <w:szCs w:val="16"/>
              </w:rPr>
              <w:t>or maximum tolerated dose</w:t>
            </w:r>
            <w:r>
              <w:rPr>
                <w:sz w:val="16"/>
                <w:szCs w:val="16"/>
              </w:rPr>
              <w:t>. Continue</w:t>
            </w:r>
            <w:r w:rsidRPr="00E93382">
              <w:rPr>
                <w:sz w:val="16"/>
                <w:szCs w:val="16"/>
              </w:rPr>
              <w:t xml:space="preserve"> for 6-8 weeks before assessment</w:t>
            </w:r>
          </w:p>
        </w:tc>
      </w:tr>
      <w:tr w:rsidR="001C2DA2" w:rsidRPr="00862FC3" w:rsidTr="00530742">
        <w:trPr>
          <w:gridAfter w:val="1"/>
          <w:wAfter w:w="60" w:type="dxa"/>
        </w:trPr>
        <w:tc>
          <w:tcPr>
            <w:tcW w:w="1161" w:type="dxa"/>
          </w:tcPr>
          <w:p w:rsidR="001C2DA2" w:rsidRPr="00D52BB7" w:rsidRDefault="001C2DA2" w:rsidP="005D3F25">
            <w:pPr>
              <w:pStyle w:val="PlainText"/>
              <w:spacing w:before="0" w:after="0"/>
              <w:rPr>
                <w:rFonts w:ascii="Calibri" w:hAnsi="Calibri" w:cs="Calibri"/>
                <w:iCs/>
                <w:sz w:val="16"/>
                <w:szCs w:val="20"/>
              </w:rPr>
            </w:pPr>
            <w:r>
              <w:rPr>
                <w:rFonts w:ascii="Calibri" w:hAnsi="Calibri" w:cs="Calibri"/>
                <w:iCs/>
                <w:sz w:val="16"/>
                <w:szCs w:val="20"/>
              </w:rPr>
              <w:t>Patient understanding</w:t>
            </w:r>
          </w:p>
        </w:tc>
        <w:tc>
          <w:tcPr>
            <w:tcW w:w="1782" w:type="dxa"/>
            <w:shd w:val="clear" w:color="auto" w:fill="auto"/>
          </w:tcPr>
          <w:p w:rsidR="001C2DA2" w:rsidRPr="00E81B73" w:rsidRDefault="001C2DA2" w:rsidP="00E93382">
            <w:pPr>
              <w:pStyle w:val="PlainText"/>
              <w:spacing w:before="0" w:after="0" w:line="240" w:lineRule="auto"/>
              <w:rPr>
                <w:rFonts w:ascii="Calibri" w:hAnsi="Calibri" w:cs="Calibri"/>
                <w:iCs/>
                <w:sz w:val="16"/>
                <w:szCs w:val="20"/>
              </w:rPr>
            </w:pPr>
            <w:r w:rsidRPr="005D3F25">
              <w:rPr>
                <w:rFonts w:ascii="Calibri" w:hAnsi="Calibri" w:cs="Calibri"/>
                <w:iCs/>
                <w:sz w:val="16"/>
                <w:szCs w:val="20"/>
              </w:rPr>
              <w:t>Has there been a documented discussion about the risks and benefits and possible dependency</w:t>
            </w:r>
            <w:r>
              <w:rPr>
                <w:rFonts w:ascii="Calibri" w:hAnsi="Calibri" w:cs="Calibri"/>
                <w:iCs/>
                <w:sz w:val="16"/>
                <w:szCs w:val="20"/>
              </w:rPr>
              <w:t xml:space="preserve"> if applicable</w:t>
            </w:r>
            <w:r w:rsidRPr="005D3F25">
              <w:rPr>
                <w:rFonts w:ascii="Calibri" w:hAnsi="Calibri" w:cs="Calibri"/>
                <w:iCs/>
                <w:sz w:val="16"/>
                <w:szCs w:val="20"/>
              </w:rPr>
              <w:t>?</w:t>
            </w:r>
          </w:p>
        </w:tc>
        <w:tc>
          <w:tcPr>
            <w:tcW w:w="2410" w:type="dxa"/>
          </w:tcPr>
          <w:p w:rsidR="001C2DA2" w:rsidRPr="00947D15" w:rsidRDefault="001C2DA2" w:rsidP="00E9338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>Evidence of discussion of risks  and benefit and risk of possible dependency must be recorded in patient notes</w:t>
            </w:r>
          </w:p>
        </w:tc>
        <w:tc>
          <w:tcPr>
            <w:tcW w:w="4253" w:type="dxa"/>
            <w:shd w:val="clear" w:color="auto" w:fill="auto"/>
          </w:tcPr>
          <w:p w:rsidR="001C2DA2" w:rsidRDefault="001C2DA2" w:rsidP="00F27AD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Courier New"/>
                <w:color w:val="000000"/>
                <w:sz w:val="16"/>
                <w:szCs w:val="16"/>
              </w:rPr>
            </w:pPr>
            <w:r>
              <w:rPr>
                <w:rFonts w:cs="Courier New"/>
                <w:color w:val="000000"/>
                <w:sz w:val="16"/>
                <w:szCs w:val="16"/>
              </w:rPr>
              <w:t xml:space="preserve"> Treatment </w:t>
            </w:r>
            <w:r w:rsidRPr="00947D15">
              <w:rPr>
                <w:rFonts w:cs="Courier New"/>
                <w:color w:val="000000"/>
                <w:sz w:val="16"/>
                <w:szCs w:val="16"/>
              </w:rPr>
              <w:t>should only be initiated with caution after a discussion about realistic treatment goals, the potential side effects and longer term risks</w:t>
            </w:r>
            <w:r>
              <w:rPr>
                <w:rFonts w:cs="Courier New"/>
                <w:color w:val="000000"/>
                <w:sz w:val="16"/>
                <w:szCs w:val="16"/>
              </w:rPr>
              <w:t>. Known dependency risk/abuse is higher with gabapentin/pregabalin</w:t>
            </w:r>
          </w:p>
          <w:p w:rsidR="001C2DA2" w:rsidRPr="00E81B73" w:rsidRDefault="001C2DA2" w:rsidP="00187AC3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sz w:val="16"/>
              </w:rPr>
            </w:pPr>
            <w:r>
              <w:rPr>
                <w:sz w:val="16"/>
                <w:szCs w:val="16"/>
              </w:rPr>
              <w:t>Consider renal function</w:t>
            </w:r>
            <w:r w:rsidRPr="00E93382">
              <w:rPr>
                <w:sz w:val="16"/>
                <w:szCs w:val="16"/>
              </w:rPr>
              <w:t xml:space="preserve"> as per product SPC’s</w:t>
            </w:r>
            <w:r>
              <w:rPr>
                <w:sz w:val="16"/>
                <w:szCs w:val="16"/>
              </w:rPr>
              <w:t xml:space="preserve"> when dosing, check</w:t>
            </w:r>
            <w:r w:rsidRPr="00E93382">
              <w:rPr>
                <w:sz w:val="16"/>
                <w:szCs w:val="16"/>
              </w:rPr>
              <w:t xml:space="preserve"> annually and </w:t>
            </w:r>
            <w:r>
              <w:rPr>
                <w:sz w:val="16"/>
                <w:szCs w:val="16"/>
              </w:rPr>
              <w:t>adjust dose</w:t>
            </w:r>
            <w:r w:rsidRPr="00E93382">
              <w:rPr>
                <w:sz w:val="16"/>
                <w:szCs w:val="16"/>
              </w:rPr>
              <w:t xml:space="preserve"> accordingly</w:t>
            </w:r>
          </w:p>
        </w:tc>
      </w:tr>
      <w:tr w:rsidR="001C2DA2" w:rsidRPr="00862FC3" w:rsidTr="00530742">
        <w:trPr>
          <w:gridAfter w:val="1"/>
          <w:wAfter w:w="60" w:type="dxa"/>
        </w:trPr>
        <w:tc>
          <w:tcPr>
            <w:tcW w:w="1161" w:type="dxa"/>
          </w:tcPr>
          <w:p w:rsidR="001C2DA2" w:rsidRPr="00D52BB7" w:rsidRDefault="001C2DA2" w:rsidP="005D3F25">
            <w:pPr>
              <w:pStyle w:val="PlainText"/>
              <w:spacing w:before="0" w:after="0"/>
              <w:rPr>
                <w:rFonts w:ascii="Calibri" w:hAnsi="Calibri" w:cs="Calibri"/>
                <w:iCs/>
                <w:sz w:val="16"/>
                <w:szCs w:val="20"/>
              </w:rPr>
            </w:pPr>
            <w:r>
              <w:rPr>
                <w:rFonts w:ascii="Calibri" w:hAnsi="Calibri" w:cs="Calibri"/>
                <w:iCs/>
                <w:sz w:val="16"/>
                <w:szCs w:val="20"/>
              </w:rPr>
              <w:t>Review</w:t>
            </w:r>
          </w:p>
        </w:tc>
        <w:tc>
          <w:tcPr>
            <w:tcW w:w="1782" w:type="dxa"/>
            <w:shd w:val="clear" w:color="auto" w:fill="auto"/>
          </w:tcPr>
          <w:p w:rsidR="001C2DA2" w:rsidRPr="00E81B73" w:rsidRDefault="001C2DA2" w:rsidP="00115E24">
            <w:pPr>
              <w:pStyle w:val="PlainText"/>
              <w:spacing w:before="0" w:after="0" w:line="240" w:lineRule="auto"/>
              <w:rPr>
                <w:rFonts w:ascii="Calibri" w:hAnsi="Calibri" w:cs="Calibri"/>
                <w:iCs/>
                <w:sz w:val="16"/>
                <w:szCs w:val="20"/>
              </w:rPr>
            </w:pPr>
            <w:r w:rsidRPr="005E3138">
              <w:rPr>
                <w:rFonts w:ascii="Calibri" w:hAnsi="Calibri" w:cs="Calibri"/>
                <w:iCs/>
                <w:sz w:val="16"/>
                <w:szCs w:val="20"/>
              </w:rPr>
              <w:t>Has prescribing been reviewed for compliance,</w:t>
            </w:r>
            <w:r>
              <w:rPr>
                <w:rFonts w:ascii="Calibri" w:hAnsi="Calibri" w:cs="Calibri"/>
                <w:iCs/>
                <w:sz w:val="16"/>
                <w:szCs w:val="20"/>
              </w:rPr>
              <w:t xml:space="preserve"> </w:t>
            </w:r>
            <w:r w:rsidRPr="005E3138">
              <w:rPr>
                <w:rFonts w:ascii="Calibri" w:hAnsi="Calibri" w:cs="Calibri"/>
                <w:iCs/>
                <w:sz w:val="16"/>
                <w:szCs w:val="20"/>
              </w:rPr>
              <w:t xml:space="preserve">efficacy, tolerability and </w:t>
            </w:r>
            <w:proofErr w:type="gramStart"/>
            <w:r w:rsidRPr="005E3138">
              <w:rPr>
                <w:rFonts w:ascii="Calibri" w:hAnsi="Calibri" w:cs="Calibri"/>
                <w:iCs/>
                <w:sz w:val="16"/>
                <w:szCs w:val="20"/>
              </w:rPr>
              <w:t>risk  including</w:t>
            </w:r>
            <w:proofErr w:type="gramEnd"/>
            <w:r w:rsidRPr="005E3138">
              <w:rPr>
                <w:rFonts w:ascii="Calibri" w:hAnsi="Calibri" w:cs="Calibri"/>
                <w:iCs/>
                <w:sz w:val="16"/>
                <w:szCs w:val="20"/>
              </w:rPr>
              <w:t xml:space="preserve"> an attempt at a graded dose reduction and possible withdrawal to assess ongoing need ?</w:t>
            </w:r>
          </w:p>
        </w:tc>
        <w:tc>
          <w:tcPr>
            <w:tcW w:w="2410" w:type="dxa"/>
          </w:tcPr>
          <w:p w:rsidR="001C2DA2" w:rsidRDefault="001C2DA2" w:rsidP="00DA7C02">
            <w:pPr>
              <w:pStyle w:val="PlainText"/>
              <w:spacing w:before="0" w:after="0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The  patient must have been formally reviewed by the GP/pharmacist /nurse  or Specialist within the planned timeframe and consultation recorded with clear record of response/benefit  to neuropathic analgesic</w:t>
            </w:r>
            <w:r w:rsidR="00E11182">
              <w:rPr>
                <w:rFonts w:ascii="Calibri" w:hAnsi="Calibri" w:cs="Courier New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C2DA2" w:rsidRDefault="001C2DA2" w:rsidP="005D3F25">
            <w:pPr>
              <w:pStyle w:val="PlainText"/>
              <w:spacing w:before="0" w:after="0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 xml:space="preserve">Follow the </w:t>
            </w:r>
            <w:proofErr w:type="spellStart"/>
            <w:r>
              <w:rPr>
                <w:rFonts w:ascii="Calibri" w:hAnsi="Calibri" w:cs="Courier New"/>
                <w:sz w:val="16"/>
                <w:szCs w:val="16"/>
              </w:rPr>
              <w:t>Polypharmacy</w:t>
            </w:r>
            <w:proofErr w:type="spellEnd"/>
            <w:r>
              <w:rPr>
                <w:rFonts w:ascii="Calibri" w:hAnsi="Calibri" w:cs="Courier New"/>
                <w:sz w:val="16"/>
                <w:szCs w:val="16"/>
              </w:rPr>
              <w:t xml:space="preserve"> review process as good practice</w:t>
            </w:r>
          </w:p>
          <w:p w:rsidR="00DA7C02" w:rsidRDefault="00530742" w:rsidP="00DA7C02">
            <w:pPr>
              <w:pStyle w:val="PlainText"/>
              <w:spacing w:before="0" w:after="0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For</w:t>
            </w:r>
            <w:r w:rsidR="00DA7C02">
              <w:rPr>
                <w:rFonts w:ascii="Calibri" w:hAnsi="Calibri" w:cs="Courier New"/>
                <w:sz w:val="16"/>
                <w:szCs w:val="16"/>
              </w:rPr>
              <w:t xml:space="preserve"> new initiation:  Initial  follow up at 4-6 weeks</w:t>
            </w:r>
          </w:p>
          <w:p w:rsidR="00DA7C02" w:rsidRDefault="00DA7C02" w:rsidP="00DA7C02">
            <w:pPr>
              <w:pStyle w:val="PlainText"/>
              <w:numPr>
                <w:ilvl w:val="0"/>
                <w:numId w:val="9"/>
              </w:numPr>
              <w:spacing w:before="0" w:after="0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 xml:space="preserve">to assess efficacy and </w:t>
            </w:r>
            <w:r w:rsidR="00530742">
              <w:rPr>
                <w:rFonts w:ascii="Calibri" w:hAnsi="Calibri" w:cs="Courier New"/>
                <w:sz w:val="16"/>
                <w:szCs w:val="16"/>
              </w:rPr>
              <w:t xml:space="preserve">tolerability, </w:t>
            </w:r>
            <w:r>
              <w:rPr>
                <w:rFonts w:ascii="Calibri" w:hAnsi="Calibri" w:cs="Courier New"/>
                <w:sz w:val="16"/>
                <w:szCs w:val="16"/>
              </w:rPr>
              <w:t xml:space="preserve">further titration to </w:t>
            </w:r>
            <w:r w:rsidRPr="00E11182">
              <w:rPr>
                <w:rFonts w:ascii="Calibri" w:hAnsi="Calibri" w:cs="Courier New"/>
                <w:sz w:val="16"/>
                <w:szCs w:val="16"/>
              </w:rPr>
              <w:t>lowest dose that achieves useful pain reduction or maximum tolerated dose</w:t>
            </w:r>
          </w:p>
          <w:p w:rsidR="00DA7C02" w:rsidRDefault="00DA7C02" w:rsidP="00DA7C02">
            <w:pPr>
              <w:pStyle w:val="PlainText"/>
              <w:spacing w:before="0" w:after="0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For ongoing review:  At least annual review</w:t>
            </w:r>
          </w:p>
          <w:p w:rsidR="00DA7C02" w:rsidRPr="00DA7C02" w:rsidRDefault="00DA7C02" w:rsidP="00DA7C02">
            <w:pPr>
              <w:pStyle w:val="PlainText"/>
              <w:numPr>
                <w:ilvl w:val="0"/>
                <w:numId w:val="8"/>
              </w:numPr>
              <w:spacing w:before="0" w:after="0"/>
              <w:rPr>
                <w:rFonts w:ascii="Calibri" w:hAnsi="Calibri" w:cs="Courier New"/>
                <w:sz w:val="16"/>
                <w:szCs w:val="16"/>
              </w:rPr>
            </w:pPr>
            <w:r w:rsidRPr="005E3138">
              <w:rPr>
                <w:rFonts w:ascii="Calibri" w:hAnsi="Calibri" w:cs="Calibri"/>
                <w:iCs/>
                <w:sz w:val="16"/>
                <w:szCs w:val="20"/>
              </w:rPr>
              <w:t>an attempt at a graded dose reduction and possible withdrawal to assess ongoing need</w:t>
            </w:r>
          </w:p>
          <w:p w:rsidR="00E11182" w:rsidRDefault="00DA7C02" w:rsidP="00DA7C02">
            <w:pPr>
              <w:pStyle w:val="PlainText"/>
              <w:numPr>
                <w:ilvl w:val="0"/>
                <w:numId w:val="8"/>
              </w:numPr>
              <w:spacing w:before="0" w:after="0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 xml:space="preserve"> re- assessment of renal function</w:t>
            </w:r>
          </w:p>
          <w:p w:rsidR="00DA7C02" w:rsidRPr="00E81B73" w:rsidRDefault="004F2559" w:rsidP="004F2559">
            <w:pPr>
              <w:pStyle w:val="PlainText"/>
              <w:numPr>
                <w:ilvl w:val="0"/>
                <w:numId w:val="8"/>
              </w:numPr>
              <w:spacing w:before="0" w:after="0"/>
              <w:rPr>
                <w:rFonts w:ascii="Calibri" w:hAnsi="Calibri" w:cs="Courier New"/>
                <w:sz w:val="16"/>
                <w:szCs w:val="16"/>
              </w:rPr>
            </w:pPr>
            <w:r>
              <w:rPr>
                <w:rFonts w:ascii="Calibri" w:hAnsi="Calibri" w:cs="Courier New"/>
                <w:sz w:val="16"/>
                <w:szCs w:val="16"/>
              </w:rPr>
              <w:t>r</w:t>
            </w:r>
            <w:r w:rsidR="00DA7C02">
              <w:rPr>
                <w:rFonts w:ascii="Calibri" w:hAnsi="Calibri" w:cs="Courier New"/>
                <w:sz w:val="16"/>
                <w:szCs w:val="16"/>
              </w:rPr>
              <w:t xml:space="preserve">e-consideration of concomitant high risk medicines  (e.g. opioids/benzodiazepines) </w:t>
            </w:r>
          </w:p>
        </w:tc>
      </w:tr>
    </w:tbl>
    <w:p w:rsidR="00347C97" w:rsidRDefault="00347C97" w:rsidP="00530742">
      <w:pPr>
        <w:spacing w:before="0" w:after="0" w:line="240" w:lineRule="auto"/>
        <w:ind w:left="360"/>
        <w:rPr>
          <w:rFonts w:eastAsia="Calibri"/>
        </w:rPr>
      </w:pPr>
    </w:p>
    <w:sectPr w:rsidR="00347C97" w:rsidSect="00BA155B">
      <w:headerReference w:type="default" r:id="rId8"/>
      <w:footerReference w:type="default" r:id="rId9"/>
      <w:pgSz w:w="11906" w:h="16838"/>
      <w:pgMar w:top="1276" w:right="992" w:bottom="1440" w:left="1332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5B" w:rsidRDefault="00BA155B" w:rsidP="002123D2">
      <w:pPr>
        <w:spacing w:before="0" w:after="0" w:line="240" w:lineRule="auto"/>
      </w:pPr>
      <w:r>
        <w:separator/>
      </w:r>
    </w:p>
  </w:endnote>
  <w:endnote w:type="continuationSeparator" w:id="0">
    <w:p w:rsidR="00BA155B" w:rsidRDefault="00BA155B" w:rsidP="002123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5B" w:rsidRDefault="003B1E6A" w:rsidP="00726400">
    <w:pPr>
      <w:spacing w:before="0"/>
      <w:ind w:left="-993" w:right="-733"/>
    </w:pPr>
    <w:r w:rsidRPr="003B1E6A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60" type="#_x0000_t202" style="position:absolute;left:0;text-align:left;margin-left:12.4pt;margin-top:7.7pt;width:425.25pt;height:45.95pt;z-index:2516546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<v:textbox>
            <w:txbxContent>
              <w:p w:rsidR="00BA155B" w:rsidRPr="004C619C" w:rsidRDefault="00BA155B" w:rsidP="004C619C">
                <w:r>
                  <w:t xml:space="preserve">Acknowledgement and thanks to CMH, ADHB, WDHB and </w:t>
                </w:r>
                <w:proofErr w:type="spellStart"/>
                <w:r>
                  <w:t>Ko</w:t>
                </w:r>
                <w:proofErr w:type="spellEnd"/>
                <w:r>
                  <w:t xml:space="preserve"> </w:t>
                </w:r>
                <w:proofErr w:type="spellStart"/>
                <w:r>
                  <w:t>Awatea</w:t>
                </w:r>
                <w:proofErr w:type="spellEnd"/>
                <w:r>
                  <w:t xml:space="preserve"> for permission to use and adapt resources developed by the Safety in Practice Auckland regional programme New Zealand</w:t>
                </w:r>
              </w:p>
            </w:txbxContent>
          </v:textbox>
        </v:shape>
      </w:pict>
    </w:r>
    <w:r w:rsidR="00BA155B">
      <w:rPr>
        <w:rFonts w:ascii="Cambria" w:hAnsi="Cambria"/>
      </w:rPr>
      <w:t xml:space="preserve">                                 </w:t>
    </w:r>
  </w:p>
  <w:p w:rsidR="00BA155B" w:rsidRDefault="00BA155B" w:rsidP="002123D2">
    <w:pPr>
      <w:ind w:left="-993" w:right="-73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5B" w:rsidRDefault="00BA155B" w:rsidP="002123D2">
      <w:pPr>
        <w:spacing w:before="0" w:after="0" w:line="240" w:lineRule="auto"/>
      </w:pPr>
      <w:r>
        <w:separator/>
      </w:r>
    </w:p>
  </w:footnote>
  <w:footnote w:type="continuationSeparator" w:id="0">
    <w:p w:rsidR="00BA155B" w:rsidRDefault="00BA155B" w:rsidP="002123D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5B" w:rsidRDefault="00BA155B" w:rsidP="0004606A">
    <w:pPr>
      <w:pStyle w:val="Header"/>
      <w:tabs>
        <w:tab w:val="clear" w:pos="9026"/>
      </w:tabs>
      <w:ind w:left="-284"/>
    </w:pPr>
    <w:r>
      <w:rPr>
        <w:noProof/>
        <w:lang w:val="en-GB" w:eastAsia="en-GB"/>
      </w:rPr>
      <w:drawing>
        <wp:inline distT="0" distB="0" distL="0" distR="0">
          <wp:extent cx="6109500" cy="445273"/>
          <wp:effectExtent l="19050" t="0" r="55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6250"/>
                  <a:stretch>
                    <a:fillRect/>
                  </a:stretch>
                </pic:blipFill>
                <pic:spPr bwMode="auto">
                  <a:xfrm>
                    <a:off x="0" y="0"/>
                    <a:ext cx="6109500" cy="445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2E9"/>
    <w:multiLevelType w:val="hybridMultilevel"/>
    <w:tmpl w:val="0298D726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>
    <w:nsid w:val="09D44288"/>
    <w:multiLevelType w:val="hybridMultilevel"/>
    <w:tmpl w:val="8D6839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7FF"/>
    <w:multiLevelType w:val="hybridMultilevel"/>
    <w:tmpl w:val="8D68390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D131E1"/>
    <w:multiLevelType w:val="hybridMultilevel"/>
    <w:tmpl w:val="8D6839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219E1"/>
    <w:multiLevelType w:val="hybridMultilevel"/>
    <w:tmpl w:val="094E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70788"/>
    <w:multiLevelType w:val="hybridMultilevel"/>
    <w:tmpl w:val="2320D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ED7BE5"/>
    <w:multiLevelType w:val="hybridMultilevel"/>
    <w:tmpl w:val="8D6839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F258D"/>
    <w:multiLevelType w:val="hybridMultilevel"/>
    <w:tmpl w:val="A0685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97154"/>
    <w:multiLevelType w:val="hybridMultilevel"/>
    <w:tmpl w:val="8D68390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trackRevision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2D67"/>
    <w:rsid w:val="0004606A"/>
    <w:rsid w:val="00060F82"/>
    <w:rsid w:val="00071C74"/>
    <w:rsid w:val="00093252"/>
    <w:rsid w:val="00115E24"/>
    <w:rsid w:val="00152580"/>
    <w:rsid w:val="0016499C"/>
    <w:rsid w:val="00176845"/>
    <w:rsid w:val="00187AC3"/>
    <w:rsid w:val="001B4970"/>
    <w:rsid w:val="001C2DA2"/>
    <w:rsid w:val="001D13D2"/>
    <w:rsid w:val="00210D6B"/>
    <w:rsid w:val="002123D2"/>
    <w:rsid w:val="00216F8E"/>
    <w:rsid w:val="00293756"/>
    <w:rsid w:val="002B4521"/>
    <w:rsid w:val="002B6535"/>
    <w:rsid w:val="00317E62"/>
    <w:rsid w:val="00347C97"/>
    <w:rsid w:val="00377FB7"/>
    <w:rsid w:val="003A7160"/>
    <w:rsid w:val="003B1E6A"/>
    <w:rsid w:val="003F79CD"/>
    <w:rsid w:val="00402C12"/>
    <w:rsid w:val="00465BE9"/>
    <w:rsid w:val="00484952"/>
    <w:rsid w:val="004C619C"/>
    <w:rsid w:val="004F2559"/>
    <w:rsid w:val="00523F5B"/>
    <w:rsid w:val="00530742"/>
    <w:rsid w:val="00554D69"/>
    <w:rsid w:val="005D3F25"/>
    <w:rsid w:val="005D73EA"/>
    <w:rsid w:val="005E3138"/>
    <w:rsid w:val="006F6B47"/>
    <w:rsid w:val="00701886"/>
    <w:rsid w:val="00726400"/>
    <w:rsid w:val="007543B6"/>
    <w:rsid w:val="00791E52"/>
    <w:rsid w:val="007D4EF0"/>
    <w:rsid w:val="0083173A"/>
    <w:rsid w:val="00832D67"/>
    <w:rsid w:val="00862FC3"/>
    <w:rsid w:val="0087390F"/>
    <w:rsid w:val="00891B9B"/>
    <w:rsid w:val="008967CB"/>
    <w:rsid w:val="008A7003"/>
    <w:rsid w:val="008F2F71"/>
    <w:rsid w:val="00920F63"/>
    <w:rsid w:val="00936F41"/>
    <w:rsid w:val="00947D15"/>
    <w:rsid w:val="00963B77"/>
    <w:rsid w:val="009705E9"/>
    <w:rsid w:val="00973510"/>
    <w:rsid w:val="00990962"/>
    <w:rsid w:val="009B127A"/>
    <w:rsid w:val="009B308D"/>
    <w:rsid w:val="009C2EEA"/>
    <w:rsid w:val="009E4D23"/>
    <w:rsid w:val="009E727D"/>
    <w:rsid w:val="00A06BB5"/>
    <w:rsid w:val="00A23159"/>
    <w:rsid w:val="00A52231"/>
    <w:rsid w:val="00A629F0"/>
    <w:rsid w:val="00AC2F5F"/>
    <w:rsid w:val="00AC4F50"/>
    <w:rsid w:val="00AC7F10"/>
    <w:rsid w:val="00B51070"/>
    <w:rsid w:val="00B87FC4"/>
    <w:rsid w:val="00BA155B"/>
    <w:rsid w:val="00BA6B85"/>
    <w:rsid w:val="00C21B6C"/>
    <w:rsid w:val="00C23765"/>
    <w:rsid w:val="00C34E17"/>
    <w:rsid w:val="00C419C9"/>
    <w:rsid w:val="00C733FF"/>
    <w:rsid w:val="00C779CF"/>
    <w:rsid w:val="00CA2B66"/>
    <w:rsid w:val="00CB3690"/>
    <w:rsid w:val="00CB3776"/>
    <w:rsid w:val="00CC5E81"/>
    <w:rsid w:val="00CC73AD"/>
    <w:rsid w:val="00CD57B7"/>
    <w:rsid w:val="00D476F5"/>
    <w:rsid w:val="00D52BB7"/>
    <w:rsid w:val="00D928C4"/>
    <w:rsid w:val="00D941DA"/>
    <w:rsid w:val="00DA7C02"/>
    <w:rsid w:val="00DC2D9F"/>
    <w:rsid w:val="00E04001"/>
    <w:rsid w:val="00E10875"/>
    <w:rsid w:val="00E11182"/>
    <w:rsid w:val="00E54B2E"/>
    <w:rsid w:val="00E81B73"/>
    <w:rsid w:val="00E93382"/>
    <w:rsid w:val="00E9420D"/>
    <w:rsid w:val="00E97B78"/>
    <w:rsid w:val="00EA67C8"/>
    <w:rsid w:val="00EC0736"/>
    <w:rsid w:val="00EE4BF9"/>
    <w:rsid w:val="00EF0349"/>
    <w:rsid w:val="00F06487"/>
    <w:rsid w:val="00F27ADA"/>
    <w:rsid w:val="00FD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159"/>
    <w:pPr>
      <w:spacing w:before="200" w:after="200" w:line="276" w:lineRule="auto"/>
    </w:pPr>
    <w:rPr>
      <w:lang w:val="en-N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15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15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159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159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159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15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159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15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15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C2A90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rsid w:val="001C2A90"/>
    <w:rPr>
      <w:rFonts w:ascii="Consolas" w:hAnsi="Consolas"/>
      <w:sz w:val="21"/>
      <w:szCs w:val="21"/>
      <w:lang w:val="en-AU" w:eastAsia="zh-CN"/>
    </w:rPr>
  </w:style>
  <w:style w:type="character" w:customStyle="1" w:styleId="Heading1Char">
    <w:name w:val="Heading 1 Char"/>
    <w:link w:val="Heading1"/>
    <w:uiPriority w:val="9"/>
    <w:rsid w:val="00A2315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A23159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A23159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A23159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A23159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A23159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A23159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A23159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A2315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315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315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23159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15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A23159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A23159"/>
    <w:rPr>
      <w:b/>
      <w:bCs/>
    </w:rPr>
  </w:style>
  <w:style w:type="character" w:styleId="Emphasis">
    <w:name w:val="Emphasis"/>
    <w:uiPriority w:val="20"/>
    <w:qFormat/>
    <w:rsid w:val="00A23159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23159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A2315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231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3159"/>
    <w:rPr>
      <w:i/>
      <w:iCs/>
    </w:rPr>
  </w:style>
  <w:style w:type="character" w:customStyle="1" w:styleId="QuoteChar">
    <w:name w:val="Quote Char"/>
    <w:link w:val="Quote"/>
    <w:uiPriority w:val="29"/>
    <w:rsid w:val="00A2315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15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23159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A23159"/>
    <w:rPr>
      <w:i/>
      <w:iCs/>
      <w:color w:val="243F60"/>
    </w:rPr>
  </w:style>
  <w:style w:type="character" w:styleId="IntenseEmphasis">
    <w:name w:val="Intense Emphasis"/>
    <w:uiPriority w:val="21"/>
    <w:qFormat/>
    <w:rsid w:val="00A2315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A23159"/>
    <w:rPr>
      <w:b/>
      <w:bCs/>
      <w:color w:val="4F81BD"/>
    </w:rPr>
  </w:style>
  <w:style w:type="character" w:styleId="IntenseReference">
    <w:name w:val="Intense Reference"/>
    <w:uiPriority w:val="32"/>
    <w:qFormat/>
    <w:rsid w:val="00A2315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A2315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3159"/>
    <w:pPr>
      <w:outlineLvl w:val="9"/>
    </w:pPr>
    <w:rPr>
      <w:lang w:bidi="en-US"/>
    </w:rPr>
  </w:style>
  <w:style w:type="table" w:styleId="TableGrid">
    <w:name w:val="Table Grid"/>
    <w:basedOn w:val="TableNormal"/>
    <w:rsid w:val="0070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1886"/>
    <w:pPr>
      <w:autoSpaceDE w:val="0"/>
      <w:autoSpaceDN w:val="0"/>
      <w:adjustRightInd w:val="0"/>
      <w:spacing w:before="200"/>
    </w:pPr>
    <w:rPr>
      <w:rFonts w:cs="Calibri"/>
      <w:color w:val="000000"/>
      <w:sz w:val="24"/>
      <w:szCs w:val="24"/>
      <w:lang w:val="en-NZ" w:eastAsia="en-US"/>
    </w:rPr>
  </w:style>
  <w:style w:type="table" w:styleId="TableGrid8">
    <w:name w:val="Table Grid 8"/>
    <w:basedOn w:val="TableNormal"/>
    <w:rsid w:val="001B4970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2123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rsid w:val="002123D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123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123D2"/>
    <w:rPr>
      <w:sz w:val="20"/>
      <w:szCs w:val="20"/>
    </w:rPr>
  </w:style>
  <w:style w:type="paragraph" w:styleId="BalloonText">
    <w:name w:val="Balloon Text"/>
    <w:basedOn w:val="Normal"/>
    <w:link w:val="BalloonTextChar"/>
    <w:rsid w:val="002123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23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67C8"/>
    <w:pPr>
      <w:spacing w:before="0" w:after="0" w:line="240" w:lineRule="auto"/>
    </w:pPr>
    <w:rPr>
      <w:rFonts w:ascii="Times New Roman" w:eastAsia="Calibri" w:hAnsi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rsid w:val="00D476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6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D476F5"/>
    <w:rPr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47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76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164A-C96E-4AC9-9C51-EE2B60C8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584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 Brebner (CMDHB)</dc:creator>
  <cp:lastModifiedBy>debbie steven</cp:lastModifiedBy>
  <cp:revision>6</cp:revision>
  <cp:lastPrinted>2017-12-18T10:52:00Z</cp:lastPrinted>
  <dcterms:created xsi:type="dcterms:W3CDTF">2017-12-18T10:39:00Z</dcterms:created>
  <dcterms:modified xsi:type="dcterms:W3CDTF">2017-12-18T11:20:00Z</dcterms:modified>
</cp:coreProperties>
</file>