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BE2" w:rsidRDefault="008C4B5F" w:rsidP="00450BE2">
      <w:pPr>
        <w:jc w:val="center"/>
        <w:rPr>
          <w:b/>
          <w:color w:val="548DD4" w:themeColor="text2" w:themeTint="99"/>
          <w:sz w:val="48"/>
        </w:rPr>
      </w:pPr>
      <w:r>
        <w:rPr>
          <w:b/>
          <w:noProof/>
          <w:color w:val="548DD4" w:themeColor="text2" w:themeTint="99"/>
          <w:sz w:val="48"/>
          <w:lang w:eastAsia="en-GB"/>
        </w:rPr>
        <w:drawing>
          <wp:anchor distT="0" distB="0" distL="114300" distR="114300" simplePos="0" relativeHeight="251658240" behindDoc="1" locked="0" layoutInCell="1" allowOverlap="1">
            <wp:simplePos x="0" y="0"/>
            <wp:positionH relativeFrom="column">
              <wp:posOffset>4688958</wp:posOffset>
            </wp:positionH>
            <wp:positionV relativeFrom="paragraph">
              <wp:posOffset>-53164</wp:posOffset>
            </wp:positionV>
            <wp:extent cx="925033" cy="916803"/>
            <wp:effectExtent l="0" t="0" r="8890" b="0"/>
            <wp:wrapNone/>
            <wp:docPr id="2" name="Picture 2" descr="\\scotland.gov.uk\dc1\fs1_home\z608605\Jason\Branch Governance\Simon's big stick\ESCP\POSTER\Communications - NHS Scotland Logo Sol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land.gov.uk\dc1\fs1_home\z608605\Jason\Branch Governance\Simon's big stick\ESCP\POSTER\Communications - NHS Scotland Logo Solid.jpg"/>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926796" cy="918551"/>
                    </a:xfrm>
                    <a:prstGeom prst="rect">
                      <a:avLst/>
                    </a:prstGeom>
                    <a:noFill/>
                    <a:ln>
                      <a:noFill/>
                    </a:ln>
                  </pic:spPr>
                </pic:pic>
              </a:graphicData>
            </a:graphic>
          </wp:anchor>
        </w:drawing>
      </w:r>
    </w:p>
    <w:p w:rsidR="00450BE2" w:rsidRDefault="00450BE2" w:rsidP="00450BE2">
      <w:pPr>
        <w:jc w:val="center"/>
        <w:rPr>
          <w:b/>
          <w:color w:val="548DD4" w:themeColor="text2" w:themeTint="99"/>
          <w:sz w:val="48"/>
        </w:rPr>
      </w:pPr>
    </w:p>
    <w:p w:rsidR="00450BE2" w:rsidRDefault="00450BE2" w:rsidP="00450BE2">
      <w:pPr>
        <w:jc w:val="center"/>
        <w:rPr>
          <w:b/>
          <w:color w:val="548DD4" w:themeColor="text2" w:themeTint="99"/>
          <w:sz w:val="48"/>
        </w:rPr>
      </w:pPr>
    </w:p>
    <w:p w:rsidR="00450BE2" w:rsidRPr="00450BE2" w:rsidRDefault="00450BE2" w:rsidP="00450BE2">
      <w:pPr>
        <w:jc w:val="center"/>
        <w:rPr>
          <w:b/>
          <w:color w:val="548DD4" w:themeColor="text2" w:themeTint="99"/>
          <w:sz w:val="52"/>
        </w:rPr>
      </w:pPr>
      <w:r w:rsidRPr="00450BE2">
        <w:rPr>
          <w:b/>
          <w:color w:val="548DD4" w:themeColor="text2" w:themeTint="99"/>
          <w:sz w:val="52"/>
        </w:rPr>
        <w:t>Gabapentinoid Prescribing for Chronic Pain in Primary Care</w:t>
      </w:r>
    </w:p>
    <w:p w:rsidR="00450BE2" w:rsidRPr="00450BE2" w:rsidRDefault="00450BE2" w:rsidP="00450BE2">
      <w:pPr>
        <w:jc w:val="center"/>
        <w:rPr>
          <w:b/>
          <w:color w:val="548DD4" w:themeColor="text2" w:themeTint="99"/>
          <w:sz w:val="52"/>
        </w:rPr>
      </w:pPr>
    </w:p>
    <w:p w:rsidR="00450BE2" w:rsidRDefault="00450BE2" w:rsidP="00450BE2">
      <w:pPr>
        <w:jc w:val="center"/>
        <w:rPr>
          <w:b/>
          <w:color w:val="548DD4" w:themeColor="text2" w:themeTint="99"/>
          <w:sz w:val="52"/>
        </w:rPr>
      </w:pPr>
      <w:r w:rsidRPr="00450BE2">
        <w:rPr>
          <w:b/>
          <w:color w:val="548DD4" w:themeColor="text2" w:themeTint="99"/>
          <w:sz w:val="52"/>
        </w:rPr>
        <w:t>Resources for Clinicians and Boards</w:t>
      </w:r>
    </w:p>
    <w:p w:rsidR="00371B5B" w:rsidRDefault="00371B5B" w:rsidP="00450BE2">
      <w:pPr>
        <w:jc w:val="center"/>
        <w:rPr>
          <w:b/>
          <w:color w:val="548DD4" w:themeColor="text2" w:themeTint="99"/>
          <w:sz w:val="52"/>
        </w:rPr>
      </w:pPr>
    </w:p>
    <w:p w:rsidR="00371B5B" w:rsidRPr="00450BE2" w:rsidRDefault="007922D0" w:rsidP="00450BE2">
      <w:pPr>
        <w:jc w:val="center"/>
        <w:rPr>
          <w:b/>
          <w:color w:val="548DD4" w:themeColor="text2" w:themeTint="99"/>
          <w:sz w:val="52"/>
        </w:rPr>
      </w:pPr>
      <w:r>
        <w:rPr>
          <w:b/>
          <w:color w:val="548DD4" w:themeColor="text2" w:themeTint="99"/>
          <w:sz w:val="52"/>
        </w:rPr>
        <w:t xml:space="preserve">VERSION </w:t>
      </w:r>
      <w:r w:rsidR="005B1FB3">
        <w:rPr>
          <w:b/>
          <w:color w:val="548DD4" w:themeColor="text2" w:themeTint="99"/>
          <w:sz w:val="52"/>
        </w:rPr>
        <w:t>1.</w:t>
      </w:r>
      <w:r w:rsidR="002475A5">
        <w:rPr>
          <w:b/>
          <w:color w:val="548DD4" w:themeColor="text2" w:themeTint="99"/>
          <w:sz w:val="52"/>
        </w:rPr>
        <w:t>2</w:t>
      </w:r>
      <w:r w:rsidR="00371B5B">
        <w:rPr>
          <w:b/>
          <w:color w:val="548DD4" w:themeColor="text2" w:themeTint="99"/>
          <w:sz w:val="52"/>
        </w:rPr>
        <w:t xml:space="preserve"> – </w:t>
      </w:r>
      <w:r w:rsidR="00122325">
        <w:rPr>
          <w:b/>
          <w:color w:val="548DD4" w:themeColor="text2" w:themeTint="99"/>
          <w:sz w:val="52"/>
        </w:rPr>
        <w:t>1</w:t>
      </w:r>
      <w:r w:rsidR="002475A5">
        <w:rPr>
          <w:b/>
          <w:color w:val="548DD4" w:themeColor="text2" w:themeTint="99"/>
          <w:sz w:val="52"/>
        </w:rPr>
        <w:t>1</w:t>
      </w:r>
      <w:r w:rsidR="006F7C89" w:rsidRPr="007922D0">
        <w:rPr>
          <w:b/>
          <w:color w:val="548DD4" w:themeColor="text2" w:themeTint="99"/>
          <w:sz w:val="52"/>
          <w:vertAlign w:val="superscript"/>
        </w:rPr>
        <w:t>th</w:t>
      </w:r>
      <w:r w:rsidR="006F7C89">
        <w:rPr>
          <w:b/>
          <w:color w:val="548DD4" w:themeColor="text2" w:themeTint="99"/>
          <w:sz w:val="52"/>
        </w:rPr>
        <w:t xml:space="preserve"> </w:t>
      </w:r>
      <w:r w:rsidR="002475A5">
        <w:rPr>
          <w:b/>
          <w:color w:val="548DD4" w:themeColor="text2" w:themeTint="99"/>
          <w:sz w:val="52"/>
        </w:rPr>
        <w:t>December</w:t>
      </w:r>
      <w:r w:rsidR="007070F0">
        <w:rPr>
          <w:b/>
          <w:color w:val="548DD4" w:themeColor="text2" w:themeTint="99"/>
          <w:sz w:val="52"/>
        </w:rPr>
        <w:t xml:space="preserve"> </w:t>
      </w:r>
      <w:r w:rsidR="00371B5B">
        <w:rPr>
          <w:b/>
          <w:color w:val="548DD4" w:themeColor="text2" w:themeTint="99"/>
          <w:sz w:val="52"/>
        </w:rPr>
        <w:t>2018</w:t>
      </w:r>
    </w:p>
    <w:p w:rsidR="00450BE2" w:rsidRDefault="008C4B5F">
      <w:pPr>
        <w:rPr>
          <w:rFonts w:asciiTheme="majorHAnsi" w:eastAsiaTheme="majorEastAsia" w:hAnsiTheme="majorHAnsi" w:cstheme="majorBidi"/>
          <w:b/>
          <w:bCs/>
          <w:color w:val="365F91" w:themeColor="accent1" w:themeShade="BF"/>
          <w:sz w:val="28"/>
          <w:szCs w:val="28"/>
        </w:rPr>
      </w:pPr>
      <w:r w:rsidRPr="008C4B5F">
        <w:rPr>
          <w:b/>
          <w:noProof/>
          <w:color w:val="548DD4" w:themeColor="text2" w:themeTint="99"/>
          <w:sz w:val="48"/>
          <w:lang w:eastAsia="en-GB"/>
        </w:rPr>
        <w:drawing>
          <wp:anchor distT="0" distB="0" distL="114300" distR="114300" simplePos="0" relativeHeight="251659264" behindDoc="1" locked="0" layoutInCell="1" allowOverlap="1">
            <wp:simplePos x="0" y="0"/>
            <wp:positionH relativeFrom="column">
              <wp:posOffset>4687068</wp:posOffset>
            </wp:positionH>
            <wp:positionV relativeFrom="paragraph">
              <wp:posOffset>2907222</wp:posOffset>
            </wp:positionV>
            <wp:extent cx="923925" cy="890270"/>
            <wp:effectExtent l="0" t="0" r="9525" b="5080"/>
            <wp:wrapNone/>
            <wp:docPr id="1" name="Picture 2" descr="H:\Jason\Branch Governance\Branding\Branch Pill and Caps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Jason\Branch Governance\Branding\Branch Pill and Capsule.jpg"/>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923925" cy="890270"/>
                    </a:xfrm>
                    <a:prstGeom prst="rect">
                      <a:avLst/>
                    </a:prstGeom>
                    <a:noFill/>
                    <a:extLst/>
                  </pic:spPr>
                </pic:pic>
              </a:graphicData>
            </a:graphic>
          </wp:anchor>
        </w:drawing>
      </w:r>
      <w:r w:rsidR="00450BE2">
        <w:br w:type="page"/>
      </w:r>
    </w:p>
    <w:p w:rsidR="00EF24B8" w:rsidRDefault="00A44AFE" w:rsidP="00A44AFE">
      <w:pPr>
        <w:pStyle w:val="Heading1"/>
      </w:pPr>
      <w:bookmarkStart w:id="0" w:name="_Toc529864499"/>
      <w:r>
        <w:lastRenderedPageBreak/>
        <w:t>Introduction</w:t>
      </w:r>
      <w:bookmarkEnd w:id="0"/>
    </w:p>
    <w:p w:rsidR="004C30E1" w:rsidRPr="004C30E1" w:rsidRDefault="004C30E1" w:rsidP="004C30E1"/>
    <w:p w:rsidR="004C30E1" w:rsidRDefault="004C30E1" w:rsidP="004C30E1">
      <w:pPr>
        <w:autoSpaceDE w:val="0"/>
        <w:autoSpaceDN w:val="0"/>
        <w:adjustRightInd w:val="0"/>
        <w:spacing w:after="0" w:line="240" w:lineRule="auto"/>
        <w:rPr>
          <w:rFonts w:ascii="Calibri" w:hAnsi="Calibri" w:cs="Calibri"/>
          <w:b/>
          <w:color w:val="000000"/>
          <w:sz w:val="24"/>
          <w:szCs w:val="24"/>
        </w:rPr>
      </w:pPr>
      <w:r w:rsidRPr="004C30E1">
        <w:rPr>
          <w:rFonts w:ascii="Calibri" w:hAnsi="Calibri" w:cs="Calibri"/>
          <w:b/>
          <w:color w:val="000000"/>
          <w:sz w:val="24"/>
          <w:szCs w:val="24"/>
        </w:rPr>
        <w:t>What is the purpose of this document?</w:t>
      </w:r>
    </w:p>
    <w:p w:rsidR="004C30E1" w:rsidRPr="004C30E1" w:rsidRDefault="004C30E1" w:rsidP="004C30E1">
      <w:pPr>
        <w:autoSpaceDE w:val="0"/>
        <w:autoSpaceDN w:val="0"/>
        <w:adjustRightInd w:val="0"/>
        <w:spacing w:after="0" w:line="240" w:lineRule="auto"/>
        <w:rPr>
          <w:rFonts w:ascii="Calibri" w:hAnsi="Calibri" w:cs="Calibri"/>
          <w:b/>
          <w:color w:val="000000"/>
          <w:sz w:val="24"/>
          <w:szCs w:val="24"/>
        </w:rPr>
      </w:pPr>
    </w:p>
    <w:p w:rsidR="004C30E1" w:rsidRDefault="004C30E1" w:rsidP="004C30E1">
      <w:pPr>
        <w:autoSpaceDE w:val="0"/>
        <w:autoSpaceDN w:val="0"/>
        <w:adjustRightInd w:val="0"/>
        <w:spacing w:after="0" w:line="240" w:lineRule="auto"/>
        <w:rPr>
          <w:rFonts w:ascii="Calibri" w:hAnsi="Calibri" w:cs="Calibri"/>
          <w:color w:val="000000"/>
          <w:sz w:val="23"/>
          <w:szCs w:val="23"/>
        </w:rPr>
      </w:pPr>
      <w:r w:rsidRPr="004C30E1">
        <w:rPr>
          <w:rFonts w:ascii="Calibri" w:hAnsi="Calibri" w:cs="Calibri"/>
          <w:color w:val="000000"/>
          <w:sz w:val="23"/>
          <w:szCs w:val="23"/>
        </w:rPr>
        <w:t xml:space="preserve">The purpose of this document is to promote quality improvement in prescribing for adults with chronic pain across primary care in Scotland, particularly focussing on delivery of safe, person-centred care. In addition, it promotes self-management and non-pharmaceutical management of chronic pain </w:t>
      </w:r>
      <w:r>
        <w:rPr>
          <w:rFonts w:ascii="Calibri" w:hAnsi="Calibri" w:cs="Calibri"/>
          <w:color w:val="000000"/>
          <w:sz w:val="23"/>
          <w:szCs w:val="23"/>
        </w:rPr>
        <w:t>and provides practical tools to support appropriate prescribing and patient review</w:t>
      </w:r>
      <w:r w:rsidRPr="004C30E1">
        <w:rPr>
          <w:rFonts w:ascii="Calibri" w:hAnsi="Calibri" w:cs="Calibri"/>
          <w:color w:val="000000"/>
          <w:sz w:val="23"/>
          <w:szCs w:val="23"/>
        </w:rPr>
        <w:t xml:space="preserve">. </w:t>
      </w:r>
    </w:p>
    <w:p w:rsidR="004C30E1" w:rsidRPr="004C30E1" w:rsidRDefault="004C30E1" w:rsidP="004C30E1">
      <w:pPr>
        <w:autoSpaceDE w:val="0"/>
        <w:autoSpaceDN w:val="0"/>
        <w:adjustRightInd w:val="0"/>
        <w:spacing w:after="0" w:line="240" w:lineRule="auto"/>
        <w:rPr>
          <w:rFonts w:ascii="Calibri" w:hAnsi="Calibri" w:cs="Calibri"/>
          <w:color w:val="000000"/>
          <w:sz w:val="23"/>
          <w:szCs w:val="23"/>
        </w:rPr>
      </w:pPr>
    </w:p>
    <w:p w:rsidR="004C30E1" w:rsidRDefault="004C30E1" w:rsidP="004C30E1">
      <w:pPr>
        <w:rPr>
          <w:rFonts w:ascii="Calibri" w:hAnsi="Calibri" w:cs="Calibri"/>
          <w:color w:val="000000"/>
          <w:sz w:val="23"/>
          <w:szCs w:val="23"/>
        </w:rPr>
      </w:pPr>
      <w:r w:rsidRPr="004C30E1">
        <w:rPr>
          <w:rFonts w:ascii="Calibri" w:hAnsi="Calibri" w:cs="Calibri"/>
          <w:color w:val="000000"/>
          <w:sz w:val="23"/>
          <w:szCs w:val="23"/>
        </w:rPr>
        <w:t xml:space="preserve">The scope includes review of the pharmaceutical and non-pharmaceutical management for adult patients only. The document is not intended to replace any current clinical guidance and should be used alongside </w:t>
      </w:r>
      <w:r w:rsidRPr="004C30E1">
        <w:rPr>
          <w:rFonts w:ascii="Calibri" w:hAnsi="Calibri" w:cs="Calibri"/>
          <w:i/>
          <w:iCs/>
          <w:color w:val="000000"/>
          <w:sz w:val="23"/>
          <w:szCs w:val="23"/>
        </w:rPr>
        <w:t>SIGN 136</w:t>
      </w:r>
      <w:r w:rsidRPr="004C30E1">
        <w:rPr>
          <w:rFonts w:ascii="Calibri" w:hAnsi="Calibri" w:cs="Calibri"/>
          <w:color w:val="000000"/>
          <w:sz w:val="23"/>
          <w:szCs w:val="23"/>
        </w:rPr>
        <w:t xml:space="preserve">. </w:t>
      </w:r>
    </w:p>
    <w:p w:rsidR="00A44AFE" w:rsidRDefault="00A44AFE" w:rsidP="004C30E1">
      <w:r>
        <w:t xml:space="preserve">This guidance </w:t>
      </w:r>
      <w:r w:rsidR="004D076F">
        <w:t>provides information about</w:t>
      </w:r>
      <w:r>
        <w:t xml:space="preserve"> the prescribing and review of gabapentin and pregabalin for chronic pain. A key step is careful consideration at the point of first prescription about whether gabapentinoids are indicated and whether there is a risk of medicine misuse. </w:t>
      </w:r>
      <w:r w:rsidR="004D076F">
        <w:t xml:space="preserve">The importance of early and ongoing review is also clear. Non-pharmaceutical approaches should always be considered instead of, or alongside, medicines. </w:t>
      </w:r>
    </w:p>
    <w:p w:rsidR="00C23A44" w:rsidRDefault="00C23A44" w:rsidP="00A44AFE">
      <w:r>
        <w:t xml:space="preserve">A quick reference document is </w:t>
      </w:r>
      <w:r w:rsidR="00644759">
        <w:t xml:space="preserve">available in </w:t>
      </w:r>
      <w:hyperlink w:anchor="_Appendix_7_–" w:history="1">
        <w:r w:rsidR="00644759" w:rsidRPr="00644759">
          <w:rPr>
            <w:rStyle w:val="Hyperlink"/>
          </w:rPr>
          <w:t>appendix 7</w:t>
        </w:r>
      </w:hyperlink>
      <w:r>
        <w:t>.</w:t>
      </w:r>
    </w:p>
    <w:p w:rsidR="007605F3" w:rsidRPr="004D076F" w:rsidRDefault="004D076F" w:rsidP="007605F3">
      <w:r>
        <w:t xml:space="preserve">There is </w:t>
      </w:r>
      <w:r w:rsidR="0012559E">
        <w:t xml:space="preserve">detailed </w:t>
      </w:r>
      <w:r>
        <w:t>information on</w:t>
      </w:r>
      <w:r w:rsidR="0012559E">
        <w:t xml:space="preserve"> pharmaceutical</w:t>
      </w:r>
      <w:r>
        <w:t xml:space="preserve"> management of chronic pain, both at clinician and Board level, within </w:t>
      </w:r>
      <w:r w:rsidR="0058237A" w:rsidRPr="0058237A">
        <w:rPr>
          <w:i/>
        </w:rPr>
        <w:t>Quality Prescribing for Chronic Pai</w:t>
      </w:r>
      <w:r w:rsidR="00FC4A77">
        <w:rPr>
          <w:i/>
        </w:rPr>
        <w:t>n</w:t>
      </w:r>
      <w:sdt>
        <w:sdtPr>
          <w:rPr>
            <w:i/>
            <w:shd w:val="clear" w:color="auto" w:fill="A6A6A6" w:themeFill="background1" w:themeFillShade="A6"/>
          </w:rPr>
          <w:id w:val="15656101"/>
          <w:citation/>
        </w:sdtPr>
        <w:sdtEndPr/>
        <w:sdtContent>
          <w:r w:rsidR="00B3152F" w:rsidRPr="00860D03">
            <w:rPr>
              <w:i/>
              <w:shd w:val="clear" w:color="auto" w:fill="A6A6A6" w:themeFill="background1" w:themeFillShade="A6"/>
            </w:rPr>
            <w:fldChar w:fldCharType="begin"/>
          </w:r>
          <w:r w:rsidR="00791072">
            <w:rPr>
              <w:i/>
              <w:shd w:val="clear" w:color="auto" w:fill="A6A6A6" w:themeFill="background1" w:themeFillShade="A6"/>
            </w:rPr>
            <w:instrText xml:space="preserve">CITATION Sco18 \l 2057 </w:instrText>
          </w:r>
          <w:r w:rsidR="00B3152F" w:rsidRPr="00860D03">
            <w:rPr>
              <w:i/>
              <w:shd w:val="clear" w:color="auto" w:fill="A6A6A6" w:themeFill="background1" w:themeFillShade="A6"/>
            </w:rPr>
            <w:fldChar w:fldCharType="separate"/>
          </w:r>
          <w:r w:rsidR="000A69B9">
            <w:rPr>
              <w:i/>
              <w:noProof/>
              <w:shd w:val="clear" w:color="auto" w:fill="A6A6A6" w:themeFill="background1" w:themeFillShade="A6"/>
            </w:rPr>
            <w:t xml:space="preserve"> </w:t>
          </w:r>
          <w:r w:rsidR="000A69B9" w:rsidRPr="000A69B9">
            <w:rPr>
              <w:noProof/>
              <w:shd w:val="clear" w:color="auto" w:fill="A6A6A6" w:themeFill="background1" w:themeFillShade="A6"/>
            </w:rPr>
            <w:t>[1]</w:t>
          </w:r>
          <w:r w:rsidR="00B3152F" w:rsidRPr="00860D03">
            <w:rPr>
              <w:i/>
              <w:shd w:val="clear" w:color="auto" w:fill="A6A6A6" w:themeFill="background1" w:themeFillShade="A6"/>
            </w:rPr>
            <w:fldChar w:fldCharType="end"/>
          </w:r>
        </w:sdtContent>
      </w:sdt>
      <w:r w:rsidR="00FC4A77">
        <w:rPr>
          <w:i/>
        </w:rPr>
        <w:t xml:space="preserve"> </w:t>
      </w:r>
      <w:r w:rsidR="00FC4A77">
        <w:rPr>
          <w:i/>
          <w:noProof/>
        </w:rPr>
        <w:t xml:space="preserve"> </w:t>
      </w:r>
      <w:r>
        <w:t xml:space="preserve">produced in 2018. </w:t>
      </w:r>
    </w:p>
    <w:sdt>
      <w:sdtPr>
        <w:rPr>
          <w:rFonts w:asciiTheme="minorHAnsi" w:eastAsiaTheme="minorHAnsi" w:hAnsiTheme="minorHAnsi" w:cstheme="minorBidi"/>
          <w:b w:val="0"/>
          <w:bCs w:val="0"/>
          <w:color w:val="auto"/>
          <w:sz w:val="22"/>
          <w:szCs w:val="22"/>
          <w:lang w:val="en-GB" w:eastAsia="en-US"/>
        </w:rPr>
        <w:id w:val="1925144772"/>
        <w:docPartObj>
          <w:docPartGallery w:val="Table of Contents"/>
          <w:docPartUnique/>
        </w:docPartObj>
      </w:sdtPr>
      <w:sdtEndPr>
        <w:rPr>
          <w:noProof/>
        </w:rPr>
      </w:sdtEndPr>
      <w:sdtContent>
        <w:p w:rsidR="00D06848" w:rsidRDefault="00D06848">
          <w:pPr>
            <w:pStyle w:val="TOCHeading"/>
          </w:pPr>
          <w:r>
            <w:t>Contents</w:t>
          </w:r>
        </w:p>
        <w:p w:rsidR="00644759" w:rsidRDefault="00B3152F">
          <w:pPr>
            <w:pStyle w:val="TOC1"/>
            <w:tabs>
              <w:tab w:val="right" w:leader="dot" w:pos="8898"/>
            </w:tabs>
            <w:rPr>
              <w:rFonts w:eastAsiaTheme="minorEastAsia"/>
              <w:noProof/>
              <w:lang w:eastAsia="en-GB"/>
            </w:rPr>
          </w:pPr>
          <w:r>
            <w:fldChar w:fldCharType="begin"/>
          </w:r>
          <w:r w:rsidR="00D06848">
            <w:instrText xml:space="preserve"> TOC \o "1-3" \h \z \u </w:instrText>
          </w:r>
          <w:r>
            <w:fldChar w:fldCharType="separate"/>
          </w:r>
          <w:hyperlink w:anchor="_Toc529864499" w:history="1">
            <w:r w:rsidR="00644759" w:rsidRPr="00C370DB">
              <w:rPr>
                <w:rStyle w:val="Hyperlink"/>
                <w:noProof/>
              </w:rPr>
              <w:t>Introduction</w:t>
            </w:r>
            <w:r w:rsidR="00644759">
              <w:rPr>
                <w:noProof/>
                <w:webHidden/>
              </w:rPr>
              <w:tab/>
            </w:r>
            <w:r>
              <w:rPr>
                <w:noProof/>
                <w:webHidden/>
              </w:rPr>
              <w:fldChar w:fldCharType="begin"/>
            </w:r>
            <w:r w:rsidR="00644759">
              <w:rPr>
                <w:noProof/>
                <w:webHidden/>
              </w:rPr>
              <w:instrText xml:space="preserve"> PAGEREF _Toc529864499 \h </w:instrText>
            </w:r>
            <w:r>
              <w:rPr>
                <w:noProof/>
                <w:webHidden/>
              </w:rPr>
            </w:r>
            <w:r>
              <w:rPr>
                <w:noProof/>
                <w:webHidden/>
              </w:rPr>
              <w:fldChar w:fldCharType="separate"/>
            </w:r>
            <w:r w:rsidR="00644759">
              <w:rPr>
                <w:noProof/>
                <w:webHidden/>
              </w:rPr>
              <w:t>2</w:t>
            </w:r>
            <w:r>
              <w:rPr>
                <w:noProof/>
                <w:webHidden/>
              </w:rPr>
              <w:fldChar w:fldCharType="end"/>
            </w:r>
          </w:hyperlink>
        </w:p>
        <w:p w:rsidR="00644759" w:rsidRDefault="00657265">
          <w:pPr>
            <w:pStyle w:val="TOC2"/>
            <w:tabs>
              <w:tab w:val="right" w:leader="dot" w:pos="8898"/>
            </w:tabs>
            <w:rPr>
              <w:rFonts w:eastAsiaTheme="minorEastAsia"/>
              <w:noProof/>
              <w:lang w:eastAsia="en-GB"/>
            </w:rPr>
          </w:pPr>
          <w:hyperlink w:anchor="_Toc529864500" w:history="1">
            <w:r w:rsidR="00644759" w:rsidRPr="00C370DB">
              <w:rPr>
                <w:rStyle w:val="Hyperlink"/>
                <w:noProof/>
              </w:rPr>
              <w:t>Acknowledgements</w:t>
            </w:r>
            <w:r w:rsidR="00644759">
              <w:rPr>
                <w:noProof/>
                <w:webHidden/>
              </w:rPr>
              <w:tab/>
            </w:r>
            <w:r w:rsidR="00B3152F">
              <w:rPr>
                <w:noProof/>
                <w:webHidden/>
              </w:rPr>
              <w:fldChar w:fldCharType="begin"/>
            </w:r>
            <w:r w:rsidR="00644759">
              <w:rPr>
                <w:noProof/>
                <w:webHidden/>
              </w:rPr>
              <w:instrText xml:space="preserve"> PAGEREF _Toc529864500 \h </w:instrText>
            </w:r>
            <w:r w:rsidR="00B3152F">
              <w:rPr>
                <w:noProof/>
                <w:webHidden/>
              </w:rPr>
            </w:r>
            <w:r w:rsidR="00B3152F">
              <w:rPr>
                <w:noProof/>
                <w:webHidden/>
              </w:rPr>
              <w:fldChar w:fldCharType="separate"/>
            </w:r>
            <w:r w:rsidR="00644759">
              <w:rPr>
                <w:noProof/>
                <w:webHidden/>
              </w:rPr>
              <w:t>3</w:t>
            </w:r>
            <w:r w:rsidR="00B3152F">
              <w:rPr>
                <w:noProof/>
                <w:webHidden/>
              </w:rPr>
              <w:fldChar w:fldCharType="end"/>
            </w:r>
          </w:hyperlink>
        </w:p>
        <w:p w:rsidR="00644759" w:rsidRDefault="00657265">
          <w:pPr>
            <w:pStyle w:val="TOC1"/>
            <w:tabs>
              <w:tab w:val="right" w:leader="dot" w:pos="8898"/>
            </w:tabs>
            <w:rPr>
              <w:rFonts w:eastAsiaTheme="minorEastAsia"/>
              <w:noProof/>
              <w:lang w:eastAsia="en-GB"/>
            </w:rPr>
          </w:pPr>
          <w:hyperlink w:anchor="_Toc529864501" w:history="1">
            <w:r w:rsidR="00644759" w:rsidRPr="00C370DB">
              <w:rPr>
                <w:rStyle w:val="Hyperlink"/>
                <w:noProof/>
              </w:rPr>
              <w:t>Appropriate Prescribing of Gabapentinoids</w:t>
            </w:r>
            <w:r w:rsidR="00644759">
              <w:rPr>
                <w:noProof/>
                <w:webHidden/>
              </w:rPr>
              <w:tab/>
            </w:r>
            <w:r w:rsidR="00B3152F">
              <w:rPr>
                <w:noProof/>
                <w:webHidden/>
              </w:rPr>
              <w:fldChar w:fldCharType="begin"/>
            </w:r>
            <w:r w:rsidR="00644759">
              <w:rPr>
                <w:noProof/>
                <w:webHidden/>
              </w:rPr>
              <w:instrText xml:space="preserve"> PAGEREF _Toc529864501 \h </w:instrText>
            </w:r>
            <w:r w:rsidR="00B3152F">
              <w:rPr>
                <w:noProof/>
                <w:webHidden/>
              </w:rPr>
            </w:r>
            <w:r w:rsidR="00B3152F">
              <w:rPr>
                <w:noProof/>
                <w:webHidden/>
              </w:rPr>
              <w:fldChar w:fldCharType="separate"/>
            </w:r>
            <w:r w:rsidR="00644759">
              <w:rPr>
                <w:noProof/>
                <w:webHidden/>
              </w:rPr>
              <w:t>4</w:t>
            </w:r>
            <w:r w:rsidR="00B3152F">
              <w:rPr>
                <w:noProof/>
                <w:webHidden/>
              </w:rPr>
              <w:fldChar w:fldCharType="end"/>
            </w:r>
          </w:hyperlink>
        </w:p>
        <w:p w:rsidR="00644759" w:rsidRDefault="00657265">
          <w:pPr>
            <w:pStyle w:val="TOC2"/>
            <w:tabs>
              <w:tab w:val="right" w:leader="dot" w:pos="8898"/>
            </w:tabs>
            <w:rPr>
              <w:rFonts w:eastAsiaTheme="minorEastAsia"/>
              <w:noProof/>
              <w:lang w:eastAsia="en-GB"/>
            </w:rPr>
          </w:pPr>
          <w:hyperlink w:anchor="_Toc529864502" w:history="1">
            <w:r w:rsidR="00644759" w:rsidRPr="00C370DB">
              <w:rPr>
                <w:rStyle w:val="Hyperlink"/>
                <w:noProof/>
              </w:rPr>
              <w:t>Background Information</w:t>
            </w:r>
            <w:r w:rsidR="00644759">
              <w:rPr>
                <w:noProof/>
                <w:webHidden/>
              </w:rPr>
              <w:tab/>
            </w:r>
            <w:r w:rsidR="00B3152F">
              <w:rPr>
                <w:noProof/>
                <w:webHidden/>
              </w:rPr>
              <w:fldChar w:fldCharType="begin"/>
            </w:r>
            <w:r w:rsidR="00644759">
              <w:rPr>
                <w:noProof/>
                <w:webHidden/>
              </w:rPr>
              <w:instrText xml:space="preserve"> PAGEREF _Toc529864502 \h </w:instrText>
            </w:r>
            <w:r w:rsidR="00B3152F">
              <w:rPr>
                <w:noProof/>
                <w:webHidden/>
              </w:rPr>
            </w:r>
            <w:r w:rsidR="00B3152F">
              <w:rPr>
                <w:noProof/>
                <w:webHidden/>
              </w:rPr>
              <w:fldChar w:fldCharType="separate"/>
            </w:r>
            <w:r w:rsidR="00644759">
              <w:rPr>
                <w:noProof/>
                <w:webHidden/>
              </w:rPr>
              <w:t>4</w:t>
            </w:r>
            <w:r w:rsidR="00B3152F">
              <w:rPr>
                <w:noProof/>
                <w:webHidden/>
              </w:rPr>
              <w:fldChar w:fldCharType="end"/>
            </w:r>
          </w:hyperlink>
        </w:p>
        <w:p w:rsidR="00644759" w:rsidRDefault="00657265">
          <w:pPr>
            <w:pStyle w:val="TOC2"/>
            <w:tabs>
              <w:tab w:val="right" w:leader="dot" w:pos="8898"/>
            </w:tabs>
            <w:rPr>
              <w:rFonts w:eastAsiaTheme="minorEastAsia"/>
              <w:noProof/>
              <w:lang w:eastAsia="en-GB"/>
            </w:rPr>
          </w:pPr>
          <w:hyperlink w:anchor="_Toc529864503" w:history="1">
            <w:r w:rsidR="00644759" w:rsidRPr="00C370DB">
              <w:rPr>
                <w:rStyle w:val="Hyperlink"/>
                <w:noProof/>
              </w:rPr>
              <w:t>High risk patients</w:t>
            </w:r>
            <w:r w:rsidR="00644759">
              <w:rPr>
                <w:noProof/>
                <w:webHidden/>
              </w:rPr>
              <w:tab/>
            </w:r>
            <w:r w:rsidR="00B3152F">
              <w:rPr>
                <w:noProof/>
                <w:webHidden/>
              </w:rPr>
              <w:fldChar w:fldCharType="begin"/>
            </w:r>
            <w:r w:rsidR="00644759">
              <w:rPr>
                <w:noProof/>
                <w:webHidden/>
              </w:rPr>
              <w:instrText xml:space="preserve"> PAGEREF _Toc529864503 \h </w:instrText>
            </w:r>
            <w:r w:rsidR="00B3152F">
              <w:rPr>
                <w:noProof/>
                <w:webHidden/>
              </w:rPr>
            </w:r>
            <w:r w:rsidR="00B3152F">
              <w:rPr>
                <w:noProof/>
                <w:webHidden/>
              </w:rPr>
              <w:fldChar w:fldCharType="separate"/>
            </w:r>
            <w:r w:rsidR="00644759">
              <w:rPr>
                <w:noProof/>
                <w:webHidden/>
              </w:rPr>
              <w:t>5</w:t>
            </w:r>
            <w:r w:rsidR="00B3152F">
              <w:rPr>
                <w:noProof/>
                <w:webHidden/>
              </w:rPr>
              <w:fldChar w:fldCharType="end"/>
            </w:r>
          </w:hyperlink>
        </w:p>
        <w:p w:rsidR="00644759" w:rsidRDefault="00657265">
          <w:pPr>
            <w:pStyle w:val="TOC2"/>
            <w:tabs>
              <w:tab w:val="right" w:leader="dot" w:pos="8898"/>
            </w:tabs>
            <w:rPr>
              <w:rFonts w:eastAsiaTheme="minorEastAsia"/>
              <w:noProof/>
              <w:lang w:eastAsia="en-GB"/>
            </w:rPr>
          </w:pPr>
          <w:hyperlink w:anchor="_Toc529864504" w:history="1">
            <w:r w:rsidR="00644759" w:rsidRPr="00C370DB">
              <w:rPr>
                <w:rStyle w:val="Hyperlink"/>
                <w:noProof/>
              </w:rPr>
              <w:t>Review</w:t>
            </w:r>
            <w:r w:rsidR="00644759">
              <w:rPr>
                <w:noProof/>
                <w:webHidden/>
              </w:rPr>
              <w:tab/>
            </w:r>
            <w:r w:rsidR="00B3152F">
              <w:rPr>
                <w:noProof/>
                <w:webHidden/>
              </w:rPr>
              <w:fldChar w:fldCharType="begin"/>
            </w:r>
            <w:r w:rsidR="00644759">
              <w:rPr>
                <w:noProof/>
                <w:webHidden/>
              </w:rPr>
              <w:instrText xml:space="preserve"> PAGEREF _Toc529864504 \h </w:instrText>
            </w:r>
            <w:r w:rsidR="00B3152F">
              <w:rPr>
                <w:noProof/>
                <w:webHidden/>
              </w:rPr>
            </w:r>
            <w:r w:rsidR="00B3152F">
              <w:rPr>
                <w:noProof/>
                <w:webHidden/>
              </w:rPr>
              <w:fldChar w:fldCharType="separate"/>
            </w:r>
            <w:r w:rsidR="00644759">
              <w:rPr>
                <w:noProof/>
                <w:webHidden/>
              </w:rPr>
              <w:t>6</w:t>
            </w:r>
            <w:r w:rsidR="00B3152F">
              <w:rPr>
                <w:noProof/>
                <w:webHidden/>
              </w:rPr>
              <w:fldChar w:fldCharType="end"/>
            </w:r>
          </w:hyperlink>
        </w:p>
        <w:p w:rsidR="00644759" w:rsidRDefault="00657265">
          <w:pPr>
            <w:pStyle w:val="TOC2"/>
            <w:tabs>
              <w:tab w:val="right" w:leader="dot" w:pos="8898"/>
            </w:tabs>
            <w:rPr>
              <w:rFonts w:eastAsiaTheme="minorEastAsia"/>
              <w:noProof/>
              <w:lang w:eastAsia="en-GB"/>
            </w:rPr>
          </w:pPr>
          <w:hyperlink w:anchor="_Toc529864505" w:history="1">
            <w:r w:rsidR="00644759" w:rsidRPr="00C370DB">
              <w:rPr>
                <w:rStyle w:val="Hyperlink"/>
                <w:noProof/>
              </w:rPr>
              <w:t>How to achieve the correct dosage</w:t>
            </w:r>
            <w:r w:rsidR="00644759">
              <w:rPr>
                <w:noProof/>
                <w:webHidden/>
              </w:rPr>
              <w:tab/>
            </w:r>
            <w:r w:rsidR="00B3152F">
              <w:rPr>
                <w:noProof/>
                <w:webHidden/>
              </w:rPr>
              <w:fldChar w:fldCharType="begin"/>
            </w:r>
            <w:r w:rsidR="00644759">
              <w:rPr>
                <w:noProof/>
                <w:webHidden/>
              </w:rPr>
              <w:instrText xml:space="preserve"> PAGEREF _Toc529864505 \h </w:instrText>
            </w:r>
            <w:r w:rsidR="00B3152F">
              <w:rPr>
                <w:noProof/>
                <w:webHidden/>
              </w:rPr>
            </w:r>
            <w:r w:rsidR="00B3152F">
              <w:rPr>
                <w:noProof/>
                <w:webHidden/>
              </w:rPr>
              <w:fldChar w:fldCharType="separate"/>
            </w:r>
            <w:r w:rsidR="00644759">
              <w:rPr>
                <w:noProof/>
                <w:webHidden/>
              </w:rPr>
              <w:t>6</w:t>
            </w:r>
            <w:r w:rsidR="00B3152F">
              <w:rPr>
                <w:noProof/>
                <w:webHidden/>
              </w:rPr>
              <w:fldChar w:fldCharType="end"/>
            </w:r>
          </w:hyperlink>
        </w:p>
        <w:p w:rsidR="00644759" w:rsidRDefault="00657265">
          <w:pPr>
            <w:pStyle w:val="TOC2"/>
            <w:tabs>
              <w:tab w:val="right" w:leader="dot" w:pos="8898"/>
            </w:tabs>
            <w:rPr>
              <w:rFonts w:eastAsiaTheme="minorEastAsia"/>
              <w:noProof/>
              <w:lang w:eastAsia="en-GB"/>
            </w:rPr>
          </w:pPr>
          <w:hyperlink w:anchor="_Toc529864506" w:history="1">
            <w:r w:rsidR="00644759" w:rsidRPr="00C370DB">
              <w:rPr>
                <w:rStyle w:val="Hyperlink"/>
                <w:noProof/>
              </w:rPr>
              <w:t>How to reduce a patient’s dosage</w:t>
            </w:r>
            <w:r w:rsidR="00644759">
              <w:rPr>
                <w:noProof/>
                <w:webHidden/>
              </w:rPr>
              <w:tab/>
            </w:r>
            <w:r w:rsidR="00B3152F">
              <w:rPr>
                <w:noProof/>
                <w:webHidden/>
              </w:rPr>
              <w:fldChar w:fldCharType="begin"/>
            </w:r>
            <w:r w:rsidR="00644759">
              <w:rPr>
                <w:noProof/>
                <w:webHidden/>
              </w:rPr>
              <w:instrText xml:space="preserve"> PAGEREF _Toc529864506 \h </w:instrText>
            </w:r>
            <w:r w:rsidR="00B3152F">
              <w:rPr>
                <w:noProof/>
                <w:webHidden/>
              </w:rPr>
            </w:r>
            <w:r w:rsidR="00B3152F">
              <w:rPr>
                <w:noProof/>
                <w:webHidden/>
              </w:rPr>
              <w:fldChar w:fldCharType="separate"/>
            </w:r>
            <w:r w:rsidR="00644759">
              <w:rPr>
                <w:noProof/>
                <w:webHidden/>
              </w:rPr>
              <w:t>7</w:t>
            </w:r>
            <w:r w:rsidR="00B3152F">
              <w:rPr>
                <w:noProof/>
                <w:webHidden/>
              </w:rPr>
              <w:fldChar w:fldCharType="end"/>
            </w:r>
          </w:hyperlink>
        </w:p>
        <w:p w:rsidR="00644759" w:rsidRDefault="00657265">
          <w:pPr>
            <w:pStyle w:val="TOC2"/>
            <w:tabs>
              <w:tab w:val="right" w:leader="dot" w:pos="8898"/>
            </w:tabs>
            <w:rPr>
              <w:rFonts w:eastAsiaTheme="minorEastAsia"/>
              <w:noProof/>
              <w:lang w:eastAsia="en-GB"/>
            </w:rPr>
          </w:pPr>
          <w:hyperlink w:anchor="_Toc529864507" w:history="1">
            <w:r w:rsidR="00644759" w:rsidRPr="00C370DB">
              <w:rPr>
                <w:rStyle w:val="Hyperlink"/>
                <w:noProof/>
              </w:rPr>
              <w:t>Drug related deaths</w:t>
            </w:r>
            <w:r w:rsidR="00644759">
              <w:rPr>
                <w:noProof/>
                <w:webHidden/>
              </w:rPr>
              <w:tab/>
            </w:r>
            <w:r w:rsidR="00B3152F">
              <w:rPr>
                <w:noProof/>
                <w:webHidden/>
              </w:rPr>
              <w:fldChar w:fldCharType="begin"/>
            </w:r>
            <w:r w:rsidR="00644759">
              <w:rPr>
                <w:noProof/>
                <w:webHidden/>
              </w:rPr>
              <w:instrText xml:space="preserve"> PAGEREF _Toc529864507 \h </w:instrText>
            </w:r>
            <w:r w:rsidR="00B3152F">
              <w:rPr>
                <w:noProof/>
                <w:webHidden/>
              </w:rPr>
            </w:r>
            <w:r w:rsidR="00B3152F">
              <w:rPr>
                <w:noProof/>
                <w:webHidden/>
              </w:rPr>
              <w:fldChar w:fldCharType="separate"/>
            </w:r>
            <w:r w:rsidR="00644759">
              <w:rPr>
                <w:noProof/>
                <w:webHidden/>
              </w:rPr>
              <w:t>7</w:t>
            </w:r>
            <w:r w:rsidR="00B3152F">
              <w:rPr>
                <w:noProof/>
                <w:webHidden/>
              </w:rPr>
              <w:fldChar w:fldCharType="end"/>
            </w:r>
          </w:hyperlink>
        </w:p>
        <w:p w:rsidR="00644759" w:rsidRDefault="00657265">
          <w:pPr>
            <w:pStyle w:val="TOC2"/>
            <w:tabs>
              <w:tab w:val="right" w:leader="dot" w:pos="8898"/>
            </w:tabs>
            <w:rPr>
              <w:rFonts w:eastAsiaTheme="minorEastAsia"/>
              <w:noProof/>
              <w:lang w:eastAsia="en-GB"/>
            </w:rPr>
          </w:pPr>
          <w:hyperlink w:anchor="_Toc529864508" w:history="1">
            <w:r w:rsidR="00644759" w:rsidRPr="00C370DB">
              <w:rPr>
                <w:rStyle w:val="Hyperlink"/>
                <w:noProof/>
              </w:rPr>
              <w:t>Summary</w:t>
            </w:r>
            <w:r w:rsidR="00644759">
              <w:rPr>
                <w:noProof/>
                <w:webHidden/>
              </w:rPr>
              <w:tab/>
            </w:r>
            <w:r w:rsidR="00B3152F">
              <w:rPr>
                <w:noProof/>
                <w:webHidden/>
              </w:rPr>
              <w:fldChar w:fldCharType="begin"/>
            </w:r>
            <w:r w:rsidR="00644759">
              <w:rPr>
                <w:noProof/>
                <w:webHidden/>
              </w:rPr>
              <w:instrText xml:space="preserve"> PAGEREF _Toc529864508 \h </w:instrText>
            </w:r>
            <w:r w:rsidR="00B3152F">
              <w:rPr>
                <w:noProof/>
                <w:webHidden/>
              </w:rPr>
            </w:r>
            <w:r w:rsidR="00B3152F">
              <w:rPr>
                <w:noProof/>
                <w:webHidden/>
              </w:rPr>
              <w:fldChar w:fldCharType="separate"/>
            </w:r>
            <w:r w:rsidR="00644759">
              <w:rPr>
                <w:noProof/>
                <w:webHidden/>
              </w:rPr>
              <w:t>8</w:t>
            </w:r>
            <w:r w:rsidR="00B3152F">
              <w:rPr>
                <w:noProof/>
                <w:webHidden/>
              </w:rPr>
              <w:fldChar w:fldCharType="end"/>
            </w:r>
          </w:hyperlink>
        </w:p>
        <w:p w:rsidR="00644759" w:rsidRDefault="00657265">
          <w:pPr>
            <w:pStyle w:val="TOC1"/>
            <w:tabs>
              <w:tab w:val="right" w:leader="dot" w:pos="8898"/>
            </w:tabs>
            <w:rPr>
              <w:rFonts w:eastAsiaTheme="minorEastAsia"/>
              <w:noProof/>
              <w:lang w:eastAsia="en-GB"/>
            </w:rPr>
          </w:pPr>
          <w:hyperlink w:anchor="_Toc529864509" w:history="1">
            <w:r w:rsidR="00644759" w:rsidRPr="00C370DB">
              <w:rPr>
                <w:rStyle w:val="Hyperlink"/>
                <w:noProof/>
              </w:rPr>
              <w:t>Appendices</w:t>
            </w:r>
            <w:r w:rsidR="00644759">
              <w:rPr>
                <w:noProof/>
                <w:webHidden/>
              </w:rPr>
              <w:tab/>
            </w:r>
            <w:r w:rsidR="00B3152F">
              <w:rPr>
                <w:noProof/>
                <w:webHidden/>
              </w:rPr>
              <w:fldChar w:fldCharType="begin"/>
            </w:r>
            <w:r w:rsidR="00644759">
              <w:rPr>
                <w:noProof/>
                <w:webHidden/>
              </w:rPr>
              <w:instrText xml:space="preserve"> PAGEREF _Toc529864509 \h </w:instrText>
            </w:r>
            <w:r w:rsidR="00B3152F">
              <w:rPr>
                <w:noProof/>
                <w:webHidden/>
              </w:rPr>
            </w:r>
            <w:r w:rsidR="00B3152F">
              <w:rPr>
                <w:noProof/>
                <w:webHidden/>
              </w:rPr>
              <w:fldChar w:fldCharType="separate"/>
            </w:r>
            <w:r w:rsidR="00644759">
              <w:rPr>
                <w:noProof/>
                <w:webHidden/>
              </w:rPr>
              <w:t>9</w:t>
            </w:r>
            <w:r w:rsidR="00B3152F">
              <w:rPr>
                <w:noProof/>
                <w:webHidden/>
              </w:rPr>
              <w:fldChar w:fldCharType="end"/>
            </w:r>
          </w:hyperlink>
        </w:p>
        <w:p w:rsidR="00644759" w:rsidRDefault="00657265">
          <w:pPr>
            <w:pStyle w:val="TOC2"/>
            <w:tabs>
              <w:tab w:val="right" w:leader="dot" w:pos="8898"/>
            </w:tabs>
            <w:rPr>
              <w:rFonts w:eastAsiaTheme="minorEastAsia"/>
              <w:noProof/>
              <w:lang w:eastAsia="en-GB"/>
            </w:rPr>
          </w:pPr>
          <w:hyperlink w:anchor="_Toc529864510" w:history="1">
            <w:r w:rsidR="00644759" w:rsidRPr="00C370DB">
              <w:rPr>
                <w:rStyle w:val="Hyperlink"/>
                <w:noProof/>
              </w:rPr>
              <w:t>Appendix 1 – Local Contact Details</w:t>
            </w:r>
            <w:r w:rsidR="00644759">
              <w:rPr>
                <w:noProof/>
                <w:webHidden/>
              </w:rPr>
              <w:tab/>
            </w:r>
            <w:r w:rsidR="00B3152F">
              <w:rPr>
                <w:noProof/>
                <w:webHidden/>
              </w:rPr>
              <w:fldChar w:fldCharType="begin"/>
            </w:r>
            <w:r w:rsidR="00644759">
              <w:rPr>
                <w:noProof/>
                <w:webHidden/>
              </w:rPr>
              <w:instrText xml:space="preserve"> PAGEREF _Toc529864510 \h </w:instrText>
            </w:r>
            <w:r w:rsidR="00B3152F">
              <w:rPr>
                <w:noProof/>
                <w:webHidden/>
              </w:rPr>
            </w:r>
            <w:r w:rsidR="00B3152F">
              <w:rPr>
                <w:noProof/>
                <w:webHidden/>
              </w:rPr>
              <w:fldChar w:fldCharType="separate"/>
            </w:r>
            <w:r w:rsidR="00644759">
              <w:rPr>
                <w:noProof/>
                <w:webHidden/>
              </w:rPr>
              <w:t>9</w:t>
            </w:r>
            <w:r w:rsidR="00B3152F">
              <w:rPr>
                <w:noProof/>
                <w:webHidden/>
              </w:rPr>
              <w:fldChar w:fldCharType="end"/>
            </w:r>
          </w:hyperlink>
        </w:p>
        <w:p w:rsidR="00644759" w:rsidRDefault="00657265">
          <w:pPr>
            <w:pStyle w:val="TOC2"/>
            <w:tabs>
              <w:tab w:val="right" w:leader="dot" w:pos="8898"/>
            </w:tabs>
            <w:rPr>
              <w:rFonts w:eastAsiaTheme="minorEastAsia"/>
              <w:noProof/>
              <w:lang w:eastAsia="en-GB"/>
            </w:rPr>
          </w:pPr>
          <w:hyperlink w:anchor="_Toc529864511" w:history="1">
            <w:r w:rsidR="00644759" w:rsidRPr="00C370DB">
              <w:rPr>
                <w:rStyle w:val="Hyperlink"/>
                <w:noProof/>
              </w:rPr>
              <w:t>Appendix 2 – Treatment pathway for chronic pain</w:t>
            </w:r>
            <w:r w:rsidR="00644759">
              <w:rPr>
                <w:noProof/>
                <w:webHidden/>
              </w:rPr>
              <w:tab/>
            </w:r>
            <w:r w:rsidR="00B3152F">
              <w:rPr>
                <w:noProof/>
                <w:webHidden/>
              </w:rPr>
              <w:fldChar w:fldCharType="begin"/>
            </w:r>
            <w:r w:rsidR="00644759">
              <w:rPr>
                <w:noProof/>
                <w:webHidden/>
              </w:rPr>
              <w:instrText xml:space="preserve"> PAGEREF _Toc529864511 \h </w:instrText>
            </w:r>
            <w:r w:rsidR="00B3152F">
              <w:rPr>
                <w:noProof/>
                <w:webHidden/>
              </w:rPr>
            </w:r>
            <w:r w:rsidR="00B3152F">
              <w:rPr>
                <w:noProof/>
                <w:webHidden/>
              </w:rPr>
              <w:fldChar w:fldCharType="separate"/>
            </w:r>
            <w:r w:rsidR="00644759">
              <w:rPr>
                <w:noProof/>
                <w:webHidden/>
              </w:rPr>
              <w:t>9</w:t>
            </w:r>
            <w:r w:rsidR="00B3152F">
              <w:rPr>
                <w:noProof/>
                <w:webHidden/>
              </w:rPr>
              <w:fldChar w:fldCharType="end"/>
            </w:r>
          </w:hyperlink>
        </w:p>
        <w:p w:rsidR="00644759" w:rsidRDefault="00657265">
          <w:pPr>
            <w:pStyle w:val="TOC2"/>
            <w:tabs>
              <w:tab w:val="right" w:leader="dot" w:pos="8898"/>
            </w:tabs>
            <w:rPr>
              <w:rFonts w:eastAsiaTheme="minorEastAsia"/>
              <w:noProof/>
              <w:lang w:eastAsia="en-GB"/>
            </w:rPr>
          </w:pPr>
          <w:hyperlink w:anchor="_Toc529864512" w:history="1">
            <w:r w:rsidR="00644759" w:rsidRPr="00C370DB">
              <w:rPr>
                <w:rStyle w:val="Hyperlink"/>
                <w:noProof/>
              </w:rPr>
              <w:t>Appendix 3 – Pain Management Prescribing Agreement</w:t>
            </w:r>
            <w:r w:rsidR="00644759">
              <w:rPr>
                <w:noProof/>
                <w:webHidden/>
              </w:rPr>
              <w:tab/>
            </w:r>
            <w:r w:rsidR="00B3152F">
              <w:rPr>
                <w:noProof/>
                <w:webHidden/>
              </w:rPr>
              <w:fldChar w:fldCharType="begin"/>
            </w:r>
            <w:r w:rsidR="00644759">
              <w:rPr>
                <w:noProof/>
                <w:webHidden/>
              </w:rPr>
              <w:instrText xml:space="preserve"> PAGEREF _Toc529864512 \h </w:instrText>
            </w:r>
            <w:r w:rsidR="00B3152F">
              <w:rPr>
                <w:noProof/>
                <w:webHidden/>
              </w:rPr>
            </w:r>
            <w:r w:rsidR="00B3152F">
              <w:rPr>
                <w:noProof/>
                <w:webHidden/>
              </w:rPr>
              <w:fldChar w:fldCharType="separate"/>
            </w:r>
            <w:r w:rsidR="00644759">
              <w:rPr>
                <w:noProof/>
                <w:webHidden/>
              </w:rPr>
              <w:t>10</w:t>
            </w:r>
            <w:r w:rsidR="00B3152F">
              <w:rPr>
                <w:noProof/>
                <w:webHidden/>
              </w:rPr>
              <w:fldChar w:fldCharType="end"/>
            </w:r>
          </w:hyperlink>
        </w:p>
        <w:p w:rsidR="00644759" w:rsidRDefault="00657265">
          <w:pPr>
            <w:pStyle w:val="TOC2"/>
            <w:tabs>
              <w:tab w:val="right" w:leader="dot" w:pos="8898"/>
            </w:tabs>
            <w:rPr>
              <w:rFonts w:eastAsiaTheme="minorEastAsia"/>
              <w:noProof/>
              <w:lang w:eastAsia="en-GB"/>
            </w:rPr>
          </w:pPr>
          <w:hyperlink w:anchor="_Toc529864513" w:history="1">
            <w:r w:rsidR="00644759" w:rsidRPr="00C370DB">
              <w:rPr>
                <w:rStyle w:val="Hyperlink"/>
                <w:noProof/>
              </w:rPr>
              <w:t>Appendix 4 – Suggested Reduction Regimen</w:t>
            </w:r>
            <w:r w:rsidR="00644759">
              <w:rPr>
                <w:noProof/>
                <w:webHidden/>
              </w:rPr>
              <w:tab/>
            </w:r>
            <w:r w:rsidR="00B3152F">
              <w:rPr>
                <w:noProof/>
                <w:webHidden/>
              </w:rPr>
              <w:fldChar w:fldCharType="begin"/>
            </w:r>
            <w:r w:rsidR="00644759">
              <w:rPr>
                <w:noProof/>
                <w:webHidden/>
              </w:rPr>
              <w:instrText xml:space="preserve"> PAGEREF _Toc529864513 \h </w:instrText>
            </w:r>
            <w:r w:rsidR="00B3152F">
              <w:rPr>
                <w:noProof/>
                <w:webHidden/>
              </w:rPr>
            </w:r>
            <w:r w:rsidR="00B3152F">
              <w:rPr>
                <w:noProof/>
                <w:webHidden/>
              </w:rPr>
              <w:fldChar w:fldCharType="separate"/>
            </w:r>
            <w:r w:rsidR="00644759">
              <w:rPr>
                <w:noProof/>
                <w:webHidden/>
              </w:rPr>
              <w:t>11</w:t>
            </w:r>
            <w:r w:rsidR="00B3152F">
              <w:rPr>
                <w:noProof/>
                <w:webHidden/>
              </w:rPr>
              <w:fldChar w:fldCharType="end"/>
            </w:r>
          </w:hyperlink>
        </w:p>
        <w:p w:rsidR="00644759" w:rsidRDefault="00657265">
          <w:pPr>
            <w:pStyle w:val="TOC2"/>
            <w:tabs>
              <w:tab w:val="right" w:leader="dot" w:pos="8898"/>
            </w:tabs>
            <w:rPr>
              <w:rFonts w:eastAsiaTheme="minorEastAsia"/>
              <w:noProof/>
              <w:lang w:eastAsia="en-GB"/>
            </w:rPr>
          </w:pPr>
          <w:hyperlink w:anchor="_Toc529864514" w:history="1">
            <w:r w:rsidR="00644759" w:rsidRPr="00C370DB">
              <w:rPr>
                <w:rStyle w:val="Hyperlink"/>
                <w:noProof/>
              </w:rPr>
              <w:t>Appendix 5 - Principles for prescribing for patients with chronic pain</w:t>
            </w:r>
            <w:r w:rsidR="00644759">
              <w:rPr>
                <w:noProof/>
                <w:webHidden/>
              </w:rPr>
              <w:tab/>
            </w:r>
            <w:r w:rsidR="00B3152F">
              <w:rPr>
                <w:noProof/>
                <w:webHidden/>
              </w:rPr>
              <w:fldChar w:fldCharType="begin"/>
            </w:r>
            <w:r w:rsidR="00644759">
              <w:rPr>
                <w:noProof/>
                <w:webHidden/>
              </w:rPr>
              <w:instrText xml:space="preserve"> PAGEREF _Toc529864514 \h </w:instrText>
            </w:r>
            <w:r w:rsidR="00B3152F">
              <w:rPr>
                <w:noProof/>
                <w:webHidden/>
              </w:rPr>
            </w:r>
            <w:r w:rsidR="00B3152F">
              <w:rPr>
                <w:noProof/>
                <w:webHidden/>
              </w:rPr>
              <w:fldChar w:fldCharType="separate"/>
            </w:r>
            <w:r w:rsidR="00644759">
              <w:rPr>
                <w:noProof/>
                <w:webHidden/>
              </w:rPr>
              <w:t>12</w:t>
            </w:r>
            <w:r w:rsidR="00B3152F">
              <w:rPr>
                <w:noProof/>
                <w:webHidden/>
              </w:rPr>
              <w:fldChar w:fldCharType="end"/>
            </w:r>
          </w:hyperlink>
        </w:p>
        <w:p w:rsidR="00644759" w:rsidRDefault="00657265">
          <w:pPr>
            <w:pStyle w:val="TOC2"/>
            <w:tabs>
              <w:tab w:val="right" w:leader="dot" w:pos="8898"/>
            </w:tabs>
            <w:rPr>
              <w:rFonts w:eastAsiaTheme="minorEastAsia"/>
              <w:noProof/>
              <w:lang w:eastAsia="en-GB"/>
            </w:rPr>
          </w:pPr>
          <w:hyperlink w:anchor="_Toc529864515" w:history="1">
            <w:r w:rsidR="00644759" w:rsidRPr="00C370DB">
              <w:rPr>
                <w:rStyle w:val="Hyperlink"/>
                <w:noProof/>
              </w:rPr>
              <w:t>Appendix 6 – Identification of patients</w:t>
            </w:r>
            <w:r w:rsidR="00644759">
              <w:rPr>
                <w:noProof/>
                <w:webHidden/>
              </w:rPr>
              <w:tab/>
            </w:r>
            <w:r w:rsidR="00B3152F">
              <w:rPr>
                <w:noProof/>
                <w:webHidden/>
              </w:rPr>
              <w:fldChar w:fldCharType="begin"/>
            </w:r>
            <w:r w:rsidR="00644759">
              <w:rPr>
                <w:noProof/>
                <w:webHidden/>
              </w:rPr>
              <w:instrText xml:space="preserve"> PAGEREF _Toc529864515 \h </w:instrText>
            </w:r>
            <w:r w:rsidR="00B3152F">
              <w:rPr>
                <w:noProof/>
                <w:webHidden/>
              </w:rPr>
            </w:r>
            <w:r w:rsidR="00B3152F">
              <w:rPr>
                <w:noProof/>
                <w:webHidden/>
              </w:rPr>
              <w:fldChar w:fldCharType="separate"/>
            </w:r>
            <w:r w:rsidR="00644759">
              <w:rPr>
                <w:noProof/>
                <w:webHidden/>
              </w:rPr>
              <w:t>13</w:t>
            </w:r>
            <w:r w:rsidR="00B3152F">
              <w:rPr>
                <w:noProof/>
                <w:webHidden/>
              </w:rPr>
              <w:fldChar w:fldCharType="end"/>
            </w:r>
          </w:hyperlink>
        </w:p>
        <w:p w:rsidR="00644759" w:rsidRDefault="00657265">
          <w:pPr>
            <w:pStyle w:val="TOC2"/>
            <w:tabs>
              <w:tab w:val="right" w:leader="dot" w:pos="8898"/>
            </w:tabs>
            <w:rPr>
              <w:rFonts w:eastAsiaTheme="minorEastAsia"/>
              <w:noProof/>
              <w:lang w:eastAsia="en-GB"/>
            </w:rPr>
          </w:pPr>
          <w:hyperlink w:anchor="_Toc529864516" w:history="1">
            <w:r w:rsidR="00644759" w:rsidRPr="00C370DB">
              <w:rPr>
                <w:rStyle w:val="Hyperlink"/>
                <w:noProof/>
              </w:rPr>
              <w:t>Appendix 7 – Quick Reference Guide</w:t>
            </w:r>
            <w:r w:rsidR="00644759">
              <w:rPr>
                <w:noProof/>
                <w:webHidden/>
              </w:rPr>
              <w:tab/>
            </w:r>
            <w:r w:rsidR="00B3152F">
              <w:rPr>
                <w:noProof/>
                <w:webHidden/>
              </w:rPr>
              <w:fldChar w:fldCharType="begin"/>
            </w:r>
            <w:r w:rsidR="00644759">
              <w:rPr>
                <w:noProof/>
                <w:webHidden/>
              </w:rPr>
              <w:instrText xml:space="preserve"> PAGEREF _Toc529864516 \h </w:instrText>
            </w:r>
            <w:r w:rsidR="00B3152F">
              <w:rPr>
                <w:noProof/>
                <w:webHidden/>
              </w:rPr>
            </w:r>
            <w:r w:rsidR="00B3152F">
              <w:rPr>
                <w:noProof/>
                <w:webHidden/>
              </w:rPr>
              <w:fldChar w:fldCharType="separate"/>
            </w:r>
            <w:r w:rsidR="00644759">
              <w:rPr>
                <w:noProof/>
                <w:webHidden/>
              </w:rPr>
              <w:t>14</w:t>
            </w:r>
            <w:r w:rsidR="00B3152F">
              <w:rPr>
                <w:noProof/>
                <w:webHidden/>
              </w:rPr>
              <w:fldChar w:fldCharType="end"/>
            </w:r>
          </w:hyperlink>
        </w:p>
        <w:p w:rsidR="00644759" w:rsidRDefault="00657265">
          <w:pPr>
            <w:pStyle w:val="TOC1"/>
            <w:tabs>
              <w:tab w:val="right" w:leader="dot" w:pos="8898"/>
            </w:tabs>
            <w:rPr>
              <w:rFonts w:eastAsiaTheme="minorEastAsia"/>
              <w:noProof/>
              <w:lang w:eastAsia="en-GB"/>
            </w:rPr>
          </w:pPr>
          <w:hyperlink w:anchor="_Toc529864517" w:history="1">
            <w:r w:rsidR="00644759" w:rsidRPr="00C370DB">
              <w:rPr>
                <w:rStyle w:val="Hyperlink"/>
                <w:noProof/>
              </w:rPr>
              <w:t>References</w:t>
            </w:r>
            <w:r w:rsidR="00644759">
              <w:rPr>
                <w:noProof/>
                <w:webHidden/>
              </w:rPr>
              <w:tab/>
            </w:r>
            <w:r w:rsidR="00B3152F">
              <w:rPr>
                <w:noProof/>
                <w:webHidden/>
              </w:rPr>
              <w:fldChar w:fldCharType="begin"/>
            </w:r>
            <w:r w:rsidR="00644759">
              <w:rPr>
                <w:noProof/>
                <w:webHidden/>
              </w:rPr>
              <w:instrText xml:space="preserve"> PAGEREF _Toc529864517 \h </w:instrText>
            </w:r>
            <w:r w:rsidR="00B3152F">
              <w:rPr>
                <w:noProof/>
                <w:webHidden/>
              </w:rPr>
            </w:r>
            <w:r w:rsidR="00B3152F">
              <w:rPr>
                <w:noProof/>
                <w:webHidden/>
              </w:rPr>
              <w:fldChar w:fldCharType="separate"/>
            </w:r>
            <w:r w:rsidR="00644759">
              <w:rPr>
                <w:noProof/>
                <w:webHidden/>
              </w:rPr>
              <w:t>15</w:t>
            </w:r>
            <w:r w:rsidR="00B3152F">
              <w:rPr>
                <w:noProof/>
                <w:webHidden/>
              </w:rPr>
              <w:fldChar w:fldCharType="end"/>
            </w:r>
          </w:hyperlink>
        </w:p>
        <w:p w:rsidR="00D06848" w:rsidRDefault="00B3152F">
          <w:r>
            <w:rPr>
              <w:b/>
              <w:bCs/>
              <w:noProof/>
            </w:rPr>
            <w:fldChar w:fldCharType="end"/>
          </w:r>
        </w:p>
      </w:sdtContent>
    </w:sdt>
    <w:p w:rsidR="003701A5" w:rsidRDefault="003701A5" w:rsidP="004C30E1">
      <w:r>
        <w:br w:type="page"/>
      </w:r>
      <w:bookmarkStart w:id="1" w:name="_Toc529864500"/>
      <w:r>
        <w:lastRenderedPageBreak/>
        <w:t>Acknowledgements</w:t>
      </w:r>
      <w:bookmarkEnd w:id="1"/>
    </w:p>
    <w:p w:rsidR="003701A5" w:rsidRDefault="003701A5" w:rsidP="003701A5">
      <w:r>
        <w:t xml:space="preserve">This guidance was adapted from a resource developed by NHS Forth Valley. We are very grateful to the original authors both for their work and for their agreement to the development of a national version. </w:t>
      </w:r>
    </w:p>
    <w:p w:rsidR="00701E5A" w:rsidRDefault="003701A5" w:rsidP="003701A5">
      <w:r>
        <w:t xml:space="preserve">This version was developed by the Effective Prescribing and Therapeutics Branch of Scottish Government. </w:t>
      </w:r>
    </w:p>
    <w:p w:rsidR="00313B8D" w:rsidRDefault="00701E5A" w:rsidP="003701A5">
      <w:r>
        <w:t>Lead authors of this version – Heather Harrison and Jason Cormack</w:t>
      </w:r>
    </w:p>
    <w:p w:rsidR="00C10824" w:rsidRDefault="00313B8D" w:rsidP="003701A5">
      <w:r>
        <w:t xml:space="preserve">With thanks </w:t>
      </w:r>
      <w:r w:rsidR="00C10824">
        <w:t>to:</w:t>
      </w:r>
    </w:p>
    <w:p w:rsidR="00C10824" w:rsidRDefault="00313B8D" w:rsidP="003701A5">
      <w:r>
        <w:t xml:space="preserve">Blair </w:t>
      </w:r>
      <w:r w:rsidR="00C050D5">
        <w:t xml:space="preserve">H. </w:t>
      </w:r>
      <w:r>
        <w:t xml:space="preserve">Smith, </w:t>
      </w:r>
      <w:r w:rsidR="00ED02E9">
        <w:t xml:space="preserve">National </w:t>
      </w:r>
      <w:r w:rsidR="00C10824">
        <w:t>Lead Clinician for Chronic Pain</w:t>
      </w:r>
      <w:r w:rsidR="00ED02E9">
        <w:t xml:space="preserve">, </w:t>
      </w:r>
      <w:r w:rsidR="00C050D5">
        <w:t>Scottish Government</w:t>
      </w:r>
    </w:p>
    <w:p w:rsidR="00C10824" w:rsidRDefault="00C10824" w:rsidP="00C10824">
      <w:r>
        <w:t>Debbi Steven, Lead Pharmacist, NHS Fife Pain Management Service</w:t>
      </w:r>
    </w:p>
    <w:p w:rsidR="00C10824" w:rsidRDefault="00313B8D" w:rsidP="003701A5">
      <w:r>
        <w:t>Mini Mishra</w:t>
      </w:r>
      <w:r w:rsidR="005A0324">
        <w:t xml:space="preserve">, </w:t>
      </w:r>
      <w:r w:rsidR="00C10824">
        <w:t>Senior Medical Officer, Scottish Government</w:t>
      </w:r>
    </w:p>
    <w:p w:rsidR="00C10824" w:rsidRDefault="005A0324" w:rsidP="003701A5">
      <w:r>
        <w:t>Mark Lawson</w:t>
      </w:r>
      <w:r w:rsidR="00C10824">
        <w:t xml:space="preserve"> and colleagues</w:t>
      </w:r>
      <w:r w:rsidR="00E27508">
        <w:t>,</w:t>
      </w:r>
      <w:r w:rsidR="00C10824">
        <w:t xml:space="preserve"> </w:t>
      </w:r>
      <w:r w:rsidR="00C10824" w:rsidRPr="00C10824">
        <w:t>Substance Misuse Unit</w:t>
      </w:r>
      <w:r w:rsidR="00C10824">
        <w:t>, Scottish Government</w:t>
      </w:r>
    </w:p>
    <w:p w:rsidR="00D06848" w:rsidRDefault="00E27508" w:rsidP="003701A5">
      <w:pPr>
        <w:rPr>
          <w:b/>
          <w:bCs/>
          <w:color w:val="365F91" w:themeColor="accent1" w:themeShade="BF"/>
          <w:sz w:val="28"/>
          <w:szCs w:val="28"/>
        </w:rPr>
      </w:pPr>
      <w:r>
        <w:t>Mik</w:t>
      </w:r>
      <w:r w:rsidR="00C10824">
        <w:t>e Bennett,</w:t>
      </w:r>
      <w:r w:rsidR="0047694F">
        <w:t xml:space="preserve"> Professor of Palliative Medicine</w:t>
      </w:r>
      <w:r w:rsidR="00C23A44">
        <w:t>,</w:t>
      </w:r>
      <w:r w:rsidR="00C10824">
        <w:t xml:space="preserve"> University of Leeds </w:t>
      </w:r>
      <w:r w:rsidR="00D06848">
        <w:br w:type="page"/>
      </w:r>
    </w:p>
    <w:p w:rsidR="00541FCA" w:rsidRDefault="00541FCA" w:rsidP="00541FCA">
      <w:pPr>
        <w:pStyle w:val="Heading1"/>
      </w:pPr>
      <w:bookmarkStart w:id="2" w:name="_Toc529864501"/>
      <w:r>
        <w:lastRenderedPageBreak/>
        <w:t>Appropriate Prescribing of Gabapentinoids</w:t>
      </w:r>
      <w:bookmarkEnd w:id="2"/>
    </w:p>
    <w:p w:rsidR="004B02D3" w:rsidRDefault="004B02D3" w:rsidP="004B02D3">
      <w:pPr>
        <w:pStyle w:val="Heading2"/>
      </w:pPr>
      <w:bookmarkStart w:id="3" w:name="_Toc529864502"/>
      <w:r>
        <w:t>Background Information</w:t>
      </w:r>
      <w:bookmarkEnd w:id="3"/>
      <w:r>
        <w:t xml:space="preserve"> </w:t>
      </w:r>
    </w:p>
    <w:p w:rsidR="00541FCA" w:rsidRDefault="00541FCA" w:rsidP="00541FCA">
      <w:r>
        <w:t>Gabapentinoids</w:t>
      </w:r>
      <w:r w:rsidR="00146A48">
        <w:t>, when used appropriately,</w:t>
      </w:r>
      <w:r>
        <w:t xml:space="preserve"> have been shown to be effective for some patients in the management of neuropathic pain. The table below</w:t>
      </w:r>
      <w:sdt>
        <w:sdtPr>
          <w:rPr>
            <w:color w:val="FF0000"/>
          </w:rPr>
          <w:id w:val="15656105"/>
          <w:citation/>
        </w:sdtPr>
        <w:sdtEndPr/>
        <w:sdtContent>
          <w:r w:rsidR="00B3152F" w:rsidRPr="00860D03">
            <w:rPr>
              <w:color w:val="FF0000"/>
            </w:rPr>
            <w:fldChar w:fldCharType="begin"/>
          </w:r>
          <w:r w:rsidR="006610C9" w:rsidRPr="00860D03">
            <w:rPr>
              <w:color w:val="FF0000"/>
            </w:rPr>
            <w:instrText xml:space="preserve"> CITATION Fin15 \l 2057 </w:instrText>
          </w:r>
          <w:r w:rsidR="00B3152F" w:rsidRPr="00860D03">
            <w:rPr>
              <w:color w:val="FF0000"/>
            </w:rPr>
            <w:fldChar w:fldCharType="separate"/>
          </w:r>
          <w:r w:rsidR="000A69B9">
            <w:rPr>
              <w:noProof/>
              <w:color w:val="FF0000"/>
            </w:rPr>
            <w:t xml:space="preserve"> </w:t>
          </w:r>
          <w:r w:rsidR="000A69B9" w:rsidRPr="00860D03">
            <w:rPr>
              <w:noProof/>
              <w:shd w:val="clear" w:color="auto" w:fill="BFBFBF" w:themeFill="background1" w:themeFillShade="BF"/>
            </w:rPr>
            <w:t>[2]</w:t>
          </w:r>
          <w:r w:rsidR="00B3152F" w:rsidRPr="00860D03">
            <w:rPr>
              <w:color w:val="FF0000"/>
            </w:rPr>
            <w:fldChar w:fldCharType="end"/>
          </w:r>
        </w:sdtContent>
      </w:sdt>
      <w:r w:rsidR="000F7A1D">
        <w:t xml:space="preserve"> </w:t>
      </w:r>
      <w:r>
        <w:t xml:space="preserve">provides the number needed to treat (NNT) and number needed to harm (NNH) for both drugs. </w:t>
      </w:r>
      <w:r w:rsidR="00646232">
        <w:t xml:space="preserve">The NNT is based on patients achieving 50% pain relief with treatments lasting more than three weeks. The NNH is based on </w:t>
      </w:r>
      <w:r w:rsidR="00646232" w:rsidRPr="00313B8D">
        <w:t>the number of patients that needed to be treated for one patient to drop out due to adverse effects</w:t>
      </w:r>
      <w:r w:rsidR="00646232">
        <w:t>.</w:t>
      </w:r>
    </w:p>
    <w:tbl>
      <w:tblPr>
        <w:tblStyle w:val="TableGrid"/>
        <w:tblW w:w="0" w:type="auto"/>
        <w:tblLook w:val="04A0" w:firstRow="1" w:lastRow="0" w:firstColumn="1" w:lastColumn="0" w:noHBand="0" w:noVBand="1"/>
      </w:tblPr>
      <w:tblGrid>
        <w:gridCol w:w="1641"/>
        <w:gridCol w:w="3533"/>
        <w:gridCol w:w="3724"/>
      </w:tblGrid>
      <w:tr w:rsidR="00541FCA" w:rsidTr="005A0324">
        <w:tc>
          <w:tcPr>
            <w:tcW w:w="1668" w:type="dxa"/>
          </w:tcPr>
          <w:p w:rsidR="00541FCA" w:rsidRPr="00541FCA" w:rsidRDefault="00541FCA" w:rsidP="00541FCA">
            <w:pPr>
              <w:rPr>
                <w:b/>
              </w:rPr>
            </w:pPr>
            <w:r w:rsidRPr="00541FCA">
              <w:rPr>
                <w:b/>
              </w:rPr>
              <w:t>Drug</w:t>
            </w:r>
          </w:p>
        </w:tc>
        <w:tc>
          <w:tcPr>
            <w:tcW w:w="3685" w:type="dxa"/>
          </w:tcPr>
          <w:p w:rsidR="00541FCA" w:rsidRPr="00541FCA" w:rsidRDefault="00541FCA" w:rsidP="00541FCA">
            <w:pPr>
              <w:rPr>
                <w:b/>
              </w:rPr>
            </w:pPr>
            <w:r w:rsidRPr="00541FCA">
              <w:rPr>
                <w:b/>
              </w:rPr>
              <w:t>NNT</w:t>
            </w:r>
          </w:p>
        </w:tc>
        <w:tc>
          <w:tcPr>
            <w:tcW w:w="3889" w:type="dxa"/>
          </w:tcPr>
          <w:p w:rsidR="00541FCA" w:rsidRPr="00541FCA" w:rsidRDefault="00541FCA" w:rsidP="00541FCA">
            <w:pPr>
              <w:rPr>
                <w:b/>
              </w:rPr>
            </w:pPr>
            <w:r w:rsidRPr="00541FCA">
              <w:rPr>
                <w:b/>
              </w:rPr>
              <w:t>NNH</w:t>
            </w:r>
          </w:p>
        </w:tc>
      </w:tr>
      <w:tr w:rsidR="00541FCA" w:rsidTr="005A0324">
        <w:tc>
          <w:tcPr>
            <w:tcW w:w="1668" w:type="dxa"/>
          </w:tcPr>
          <w:p w:rsidR="00541FCA" w:rsidRDefault="00541FCA" w:rsidP="00541FCA">
            <w:r>
              <w:t>Pregabalin</w:t>
            </w:r>
          </w:p>
        </w:tc>
        <w:tc>
          <w:tcPr>
            <w:tcW w:w="3685" w:type="dxa"/>
          </w:tcPr>
          <w:p w:rsidR="00541FCA" w:rsidRDefault="00541FCA" w:rsidP="00541FCA">
            <w:r>
              <w:t>7.7 (95% CI 6.5-9.4)</w:t>
            </w:r>
          </w:p>
        </w:tc>
        <w:tc>
          <w:tcPr>
            <w:tcW w:w="3889" w:type="dxa"/>
          </w:tcPr>
          <w:p w:rsidR="00541FCA" w:rsidRDefault="00541FCA" w:rsidP="00541FCA">
            <w:r>
              <w:t>13.9 (</w:t>
            </w:r>
            <w:r w:rsidR="0012559E">
              <w:t xml:space="preserve">95% CI </w:t>
            </w:r>
            <w:r>
              <w:t>11.6-17.4)</w:t>
            </w:r>
          </w:p>
        </w:tc>
      </w:tr>
      <w:tr w:rsidR="00541FCA" w:rsidTr="005A0324">
        <w:tc>
          <w:tcPr>
            <w:tcW w:w="1668" w:type="dxa"/>
          </w:tcPr>
          <w:p w:rsidR="00541FCA" w:rsidRDefault="00541FCA" w:rsidP="00AC409B">
            <w:r>
              <w:t>Gab</w:t>
            </w:r>
            <w:r w:rsidR="00AC409B">
              <w:t>a</w:t>
            </w:r>
            <w:r>
              <w:t>pentin</w:t>
            </w:r>
          </w:p>
        </w:tc>
        <w:tc>
          <w:tcPr>
            <w:tcW w:w="3685" w:type="dxa"/>
          </w:tcPr>
          <w:p w:rsidR="00541FCA" w:rsidRDefault="004A73C5" w:rsidP="00541FCA">
            <w:r>
              <w:t>6.3</w:t>
            </w:r>
            <w:r w:rsidR="00541FCA">
              <w:t xml:space="preserve"> (95% CI 5.0-8.3)</w:t>
            </w:r>
            <w:r>
              <w:t xml:space="preserve"> </w:t>
            </w:r>
            <w:r w:rsidR="005A0324">
              <w:t>and</w:t>
            </w:r>
          </w:p>
          <w:p w:rsidR="004A73C5" w:rsidRDefault="004A73C5" w:rsidP="00541FCA">
            <w:r>
              <w:t>8.3 (95% CI 6.2-13) for</w:t>
            </w:r>
            <w:r w:rsidR="00C23A44">
              <w:t xml:space="preserve"> extended release</w:t>
            </w:r>
            <w:r>
              <w:t xml:space="preserve"> ER preparations</w:t>
            </w:r>
          </w:p>
        </w:tc>
        <w:tc>
          <w:tcPr>
            <w:tcW w:w="3889" w:type="dxa"/>
          </w:tcPr>
          <w:p w:rsidR="00541FCA" w:rsidRDefault="00541FCA" w:rsidP="005A0324">
            <w:r>
              <w:t>25.6 (</w:t>
            </w:r>
            <w:r w:rsidR="0012559E">
              <w:t xml:space="preserve">95% CI </w:t>
            </w:r>
            <w:r>
              <w:t>15.3-78.6)</w:t>
            </w:r>
            <w:r w:rsidR="005A0324">
              <w:t xml:space="preserve"> and</w:t>
            </w:r>
            <w:r>
              <w:t xml:space="preserve"> </w:t>
            </w:r>
            <w:r>
              <w:br/>
              <w:t>31.9</w:t>
            </w:r>
            <w:r w:rsidR="00730E99">
              <w:t xml:space="preserve"> (95% CI 17-230)</w:t>
            </w:r>
            <w:r>
              <w:t xml:space="preserve"> for ER preparations</w:t>
            </w:r>
          </w:p>
        </w:tc>
      </w:tr>
    </w:tbl>
    <w:p w:rsidR="00541FCA" w:rsidRDefault="00541FCA" w:rsidP="00541FCA">
      <w:r>
        <w:br/>
      </w:r>
      <w:hyperlink r:id="rId11" w:history="1">
        <w:r w:rsidRPr="00450BE2">
          <w:rPr>
            <w:rStyle w:val="Hyperlink"/>
            <w:i/>
          </w:rPr>
          <w:t>SIGN 136</w:t>
        </w:r>
      </w:hyperlink>
      <w:sdt>
        <w:sdtPr>
          <w:rPr>
            <w:color w:val="0000FF" w:themeColor="hyperlink"/>
            <w:u w:val="single"/>
            <w:shd w:val="clear" w:color="auto" w:fill="EEECE1" w:themeFill="background2"/>
          </w:rPr>
          <w:id w:val="15656106"/>
          <w:citation/>
        </w:sdtPr>
        <w:sdtEndPr/>
        <w:sdtContent>
          <w:r w:rsidR="00B3152F" w:rsidRPr="00860D03">
            <w:rPr>
              <w:shd w:val="clear" w:color="auto" w:fill="EEECE1" w:themeFill="background2"/>
            </w:rPr>
            <w:fldChar w:fldCharType="begin"/>
          </w:r>
          <w:r w:rsidR="006610C9" w:rsidRPr="00860D03">
            <w:rPr>
              <w:shd w:val="clear" w:color="auto" w:fill="EEECE1" w:themeFill="background2"/>
            </w:rPr>
            <w:instrText xml:space="preserve"> CITATION Sco13 \l 2057 </w:instrText>
          </w:r>
          <w:r w:rsidR="00B3152F" w:rsidRPr="00860D03">
            <w:rPr>
              <w:shd w:val="clear" w:color="auto" w:fill="EEECE1" w:themeFill="background2"/>
            </w:rPr>
            <w:fldChar w:fldCharType="separate"/>
          </w:r>
          <w:r w:rsidR="000A69B9" w:rsidRPr="00860D03">
            <w:rPr>
              <w:noProof/>
            </w:rPr>
            <w:t xml:space="preserve"> </w:t>
          </w:r>
          <w:r w:rsidR="000A69B9" w:rsidRPr="00860D03">
            <w:rPr>
              <w:noProof/>
              <w:shd w:val="clear" w:color="auto" w:fill="BFBFBF" w:themeFill="background1" w:themeFillShade="BF"/>
            </w:rPr>
            <w:t>[3]</w:t>
          </w:r>
          <w:r w:rsidR="00B3152F" w:rsidRPr="00860D03">
            <w:rPr>
              <w:shd w:val="clear" w:color="auto" w:fill="EEECE1" w:themeFill="background2"/>
            </w:rPr>
            <w:fldChar w:fldCharType="end"/>
          </w:r>
        </w:sdtContent>
      </w:sdt>
      <w:r>
        <w:t xml:space="preserve"> recommends amitriptyline or gabapentin as first line</w:t>
      </w:r>
      <w:r w:rsidR="0012559E">
        <w:t xml:space="preserve"> medicine</w:t>
      </w:r>
      <w:r>
        <w:t xml:space="preserve"> in neuropathic pain</w:t>
      </w:r>
      <w:r w:rsidR="009A3F26">
        <w:t xml:space="preserve">, dependent on clinical preference and patient factors (including the risks discussed below). </w:t>
      </w:r>
      <w:r w:rsidR="009A3F26" w:rsidRPr="009A3F26">
        <w:t>Pregabalin is an alternative in patients who have found no benefit from, or not tolerated, amitriptyline or gabapentin.</w:t>
      </w:r>
    </w:p>
    <w:p w:rsidR="00146A48" w:rsidRDefault="00146A48" w:rsidP="00541FCA">
      <w:r w:rsidRPr="00146A48">
        <w:t>It is important to discuss patients’ aims for pharmacological treatment</w:t>
      </w:r>
      <w:r w:rsidR="0097554E">
        <w:t xml:space="preserve"> using the </w:t>
      </w:r>
      <w:hyperlink r:id="rId12" w:history="1">
        <w:r w:rsidR="0097554E" w:rsidRPr="0097554E">
          <w:rPr>
            <w:rStyle w:val="Hyperlink"/>
          </w:rPr>
          <w:t>what matters to me</w:t>
        </w:r>
      </w:hyperlink>
      <w:sdt>
        <w:sdtPr>
          <w:id w:val="15656130"/>
          <w:citation/>
        </w:sdtPr>
        <w:sdtEndPr/>
        <w:sdtContent>
          <w:r w:rsidR="00B3152F">
            <w:fldChar w:fldCharType="begin"/>
          </w:r>
          <w:r w:rsidR="00DF2DC7">
            <w:instrText xml:space="preserve"> CITATION Hea18 \l 2057 </w:instrText>
          </w:r>
          <w:r w:rsidR="00B3152F">
            <w:fldChar w:fldCharType="separate"/>
          </w:r>
          <w:r w:rsidR="000A69B9">
            <w:rPr>
              <w:noProof/>
            </w:rPr>
            <w:t xml:space="preserve"> </w:t>
          </w:r>
          <w:r w:rsidR="000A69B9" w:rsidRPr="00860D03">
            <w:rPr>
              <w:noProof/>
              <w:shd w:val="clear" w:color="auto" w:fill="BFBFBF" w:themeFill="background1" w:themeFillShade="BF"/>
            </w:rPr>
            <w:t>[4]</w:t>
          </w:r>
          <w:r w:rsidR="00B3152F">
            <w:fldChar w:fldCharType="end"/>
          </w:r>
        </w:sdtContent>
      </w:sdt>
      <w:r w:rsidR="0097554E">
        <w:t xml:space="preserve"> approach. </w:t>
      </w:r>
      <w:r w:rsidR="00C23A44" w:rsidRPr="00C23A44">
        <w:t xml:space="preserve"> </w:t>
      </w:r>
      <w:hyperlink r:id="rId13" w:history="1">
        <w:r w:rsidR="00C23A44" w:rsidRPr="00C23A44">
          <w:rPr>
            <w:rStyle w:val="Hyperlink"/>
          </w:rPr>
          <w:t>The Pain Concern Navigator Tool</w:t>
        </w:r>
      </w:hyperlink>
      <w:sdt>
        <w:sdtPr>
          <w:id w:val="15656131"/>
          <w:citation/>
        </w:sdtPr>
        <w:sdtEndPr/>
        <w:sdtContent>
          <w:r w:rsidR="00B3152F">
            <w:fldChar w:fldCharType="begin"/>
          </w:r>
          <w:r w:rsidR="00C227D9">
            <w:instrText xml:space="preserve">CITATION PCNav \l 2057 </w:instrText>
          </w:r>
          <w:r w:rsidR="00B3152F">
            <w:fldChar w:fldCharType="separate"/>
          </w:r>
          <w:r w:rsidR="000A69B9">
            <w:rPr>
              <w:noProof/>
            </w:rPr>
            <w:t xml:space="preserve"> </w:t>
          </w:r>
          <w:r w:rsidR="000A69B9" w:rsidRPr="00860D03">
            <w:rPr>
              <w:noProof/>
              <w:shd w:val="clear" w:color="auto" w:fill="BFBFBF" w:themeFill="background1" w:themeFillShade="BF"/>
            </w:rPr>
            <w:t>[5]</w:t>
          </w:r>
          <w:r w:rsidR="00B3152F">
            <w:fldChar w:fldCharType="end"/>
          </w:r>
        </w:sdtContent>
      </w:sdt>
      <w:r w:rsidR="00C23A44">
        <w:t xml:space="preserve"> can be used to support discussion and enable the patient to be a partner in making decisions about their </w:t>
      </w:r>
      <w:r w:rsidR="0097554E">
        <w:t xml:space="preserve">care.  </w:t>
      </w:r>
      <w:r w:rsidR="0097554E" w:rsidRPr="00146A48">
        <w:t>Realistic</w:t>
      </w:r>
      <w:r w:rsidRPr="00146A48">
        <w:t xml:space="preserve"> ai</w:t>
      </w:r>
      <w:r>
        <w:t>ms may include pain reduction (</w:t>
      </w:r>
      <w:r w:rsidR="0012559E">
        <w:t xml:space="preserve">e.g. </w:t>
      </w:r>
      <w:r w:rsidRPr="00146A48">
        <w:t>30%) and/or functional goal improvement</w:t>
      </w:r>
      <w:sdt>
        <w:sdtPr>
          <w:id w:val="15656128"/>
          <w:citation/>
        </w:sdtPr>
        <w:sdtEndPr/>
        <w:sdtContent>
          <w:r w:rsidR="00B3152F">
            <w:fldChar w:fldCharType="begin"/>
          </w:r>
          <w:r w:rsidR="00791072">
            <w:instrText xml:space="preserve">CITATION Sco18 \l 2057 </w:instrText>
          </w:r>
          <w:r w:rsidR="00B3152F">
            <w:fldChar w:fldCharType="separate"/>
          </w:r>
          <w:r w:rsidR="000A69B9">
            <w:rPr>
              <w:noProof/>
            </w:rPr>
            <w:t xml:space="preserve"> </w:t>
          </w:r>
          <w:r w:rsidR="000A69B9" w:rsidRPr="00860D03">
            <w:rPr>
              <w:noProof/>
              <w:shd w:val="clear" w:color="auto" w:fill="BFBFBF" w:themeFill="background1" w:themeFillShade="BF"/>
            </w:rPr>
            <w:t>[1]</w:t>
          </w:r>
          <w:r w:rsidR="00B3152F">
            <w:fldChar w:fldCharType="end"/>
          </w:r>
        </w:sdtContent>
      </w:sdt>
      <w:r w:rsidRPr="00146A48">
        <w:t>.</w:t>
      </w:r>
      <w:r w:rsidR="004D076F">
        <w:t xml:space="preserve"> Further information on key principles for prescribing is available</w:t>
      </w:r>
      <w:r w:rsidR="00DA7962">
        <w:t xml:space="preserve"> in</w:t>
      </w:r>
      <w:r w:rsidR="004D076F">
        <w:t xml:space="preserve"> </w:t>
      </w:r>
      <w:hyperlink w:anchor="_Appendix_7_-" w:history="1">
        <w:r w:rsidR="00DA7962">
          <w:rPr>
            <w:rStyle w:val="Hyperlink"/>
          </w:rPr>
          <w:t>appendix 5</w:t>
        </w:r>
      </w:hyperlink>
      <w:r w:rsidR="004D076F">
        <w:t xml:space="preserve">. </w:t>
      </w:r>
    </w:p>
    <w:p w:rsidR="00A14C3E" w:rsidRDefault="00A14C3E" w:rsidP="00541FCA">
      <w:r w:rsidRPr="00A14C3E">
        <w:t xml:space="preserve">Gabapentinoids are </w:t>
      </w:r>
      <w:r w:rsidRPr="00450BE2">
        <w:rPr>
          <w:b/>
        </w:rPr>
        <w:t>not</w:t>
      </w:r>
      <w:r w:rsidRPr="00A14C3E">
        <w:t xml:space="preserve"> licensed for non-neuropathic pain</w:t>
      </w:r>
      <w:r w:rsidR="0012559E">
        <w:t>, nor is there any evidence to support their use</w:t>
      </w:r>
      <w:r>
        <w:t>.</w:t>
      </w:r>
      <w:r w:rsidR="00DB3B54">
        <w:t xml:space="preserve"> </w:t>
      </w:r>
    </w:p>
    <w:p w:rsidR="00DB3B54" w:rsidRDefault="00DB3B54" w:rsidP="00541FCA">
      <w:r>
        <w:t xml:space="preserve">As with all medicines for the treatment of chronic pain, gabapentinoids should be used only as part of a wider management plan. </w:t>
      </w:r>
      <w:r w:rsidRPr="00DB3B54">
        <w:t xml:space="preserve">Patients should be aware that non-pharmaceutical </w:t>
      </w:r>
      <w:r w:rsidR="0097554E" w:rsidRPr="00DB3B54">
        <w:t>options</w:t>
      </w:r>
      <w:r w:rsidRPr="00DB3B54">
        <w:t xml:space="preserve"> or those offered along with prescribed medicines, may result in better achievement of goals and result in less harm than medicines alone</w:t>
      </w:r>
      <w:r>
        <w:t xml:space="preserve">. </w:t>
      </w:r>
      <w:hyperlink r:id="rId14" w:history="1">
        <w:r w:rsidR="0097554E" w:rsidRPr="0097554E">
          <w:rPr>
            <w:rStyle w:val="Hyperlink"/>
          </w:rPr>
          <w:t>ALISS</w:t>
        </w:r>
      </w:hyperlink>
      <w:sdt>
        <w:sdtPr>
          <w:id w:val="15656169"/>
          <w:citation/>
        </w:sdtPr>
        <w:sdtEndPr/>
        <w:sdtContent>
          <w:r w:rsidR="00B3152F">
            <w:fldChar w:fldCharType="begin"/>
          </w:r>
          <w:r w:rsidR="001B64BF">
            <w:instrText xml:space="preserve"> CITATION ALo18 \l 2057 </w:instrText>
          </w:r>
          <w:r w:rsidR="00B3152F">
            <w:fldChar w:fldCharType="separate"/>
          </w:r>
          <w:r w:rsidR="000A69B9">
            <w:rPr>
              <w:noProof/>
            </w:rPr>
            <w:t xml:space="preserve"> </w:t>
          </w:r>
          <w:r w:rsidR="000A69B9" w:rsidRPr="00860D03">
            <w:rPr>
              <w:noProof/>
              <w:shd w:val="clear" w:color="auto" w:fill="BFBFBF" w:themeFill="background1" w:themeFillShade="BF"/>
            </w:rPr>
            <w:t>[6]</w:t>
          </w:r>
          <w:r w:rsidR="00B3152F">
            <w:fldChar w:fldCharType="end"/>
          </w:r>
        </w:sdtContent>
      </w:sdt>
      <w:r w:rsidR="0097554E">
        <w:t xml:space="preserve"> is a helpful directory which signposts to local support.</w:t>
      </w:r>
    </w:p>
    <w:p w:rsidR="00602114" w:rsidRDefault="00602114" w:rsidP="00541FCA">
      <w:r>
        <w:t xml:space="preserve">For those with more complex needs, referral for </w:t>
      </w:r>
      <w:r w:rsidR="00EA20E4">
        <w:t xml:space="preserve">specialist </w:t>
      </w:r>
      <w:r>
        <w:t xml:space="preserve">pain assessment should be considered. </w:t>
      </w:r>
    </w:p>
    <w:p w:rsidR="00117075" w:rsidRPr="005C3ECB" w:rsidRDefault="00E955A2" w:rsidP="005C3ECB">
      <w:r w:rsidRPr="00E955A2">
        <w:t xml:space="preserve">Gabapentinoids </w:t>
      </w:r>
      <w:r w:rsidR="00117075">
        <w:t>will be</w:t>
      </w:r>
      <w:r w:rsidRPr="00E955A2">
        <w:t xml:space="preserve"> </w:t>
      </w:r>
      <w:r w:rsidR="00117075">
        <w:t xml:space="preserve">reclassified </w:t>
      </w:r>
      <w:r w:rsidR="00117075" w:rsidRPr="005C3ECB">
        <w:t xml:space="preserve">class C controlled substances </w:t>
      </w:r>
      <w:r w:rsidR="00A7219A">
        <w:t xml:space="preserve">under section </w:t>
      </w:r>
      <w:r w:rsidR="00E97F9F">
        <w:t>the Misu</w:t>
      </w:r>
      <w:r w:rsidR="00117075">
        <w:t>s</w:t>
      </w:r>
      <w:r w:rsidR="00E97F9F">
        <w:t>e of Drugs Act</w:t>
      </w:r>
      <w:r w:rsidR="005C3ECB">
        <w:t xml:space="preserve"> from </w:t>
      </w:r>
      <w:r w:rsidR="00F75542" w:rsidRPr="00F75542">
        <w:t>April 2019</w:t>
      </w:r>
      <w:sdt>
        <w:sdtPr>
          <w:id w:val="15656129"/>
          <w:citation/>
        </w:sdtPr>
        <w:sdtEndPr/>
        <w:sdtContent>
          <w:r w:rsidR="00B3152F" w:rsidRPr="00940A6E">
            <w:fldChar w:fldCharType="begin"/>
          </w:r>
          <w:r w:rsidR="006610C9" w:rsidRPr="00940A6E">
            <w:instrText xml:space="preserve"> CITATION Hom18 \l 2057 </w:instrText>
          </w:r>
          <w:r w:rsidR="00B3152F" w:rsidRPr="00940A6E">
            <w:fldChar w:fldCharType="separate"/>
          </w:r>
          <w:r w:rsidR="000A69B9" w:rsidRPr="00940A6E">
            <w:rPr>
              <w:noProof/>
            </w:rPr>
            <w:t xml:space="preserve"> </w:t>
          </w:r>
          <w:r w:rsidR="000A69B9" w:rsidRPr="00940A6E">
            <w:rPr>
              <w:noProof/>
              <w:shd w:val="clear" w:color="auto" w:fill="A6A6A6" w:themeFill="background1" w:themeFillShade="A6"/>
            </w:rPr>
            <w:t>[7]</w:t>
          </w:r>
          <w:r w:rsidR="00B3152F" w:rsidRPr="00940A6E">
            <w:fldChar w:fldCharType="end"/>
          </w:r>
        </w:sdtContent>
      </w:sdt>
      <w:r w:rsidR="005C3ECB">
        <w:t xml:space="preserve">. </w:t>
      </w:r>
      <w:r w:rsidR="00117075" w:rsidRPr="005C3ECB">
        <w:t>The law change will mean there will be stronger controls in place to ensure accountability and minimise the chances of pregabalin and gabapentin falling into the wrong hands or being stockpiled by patients.</w:t>
      </w:r>
      <w:r w:rsidR="005C3ECB" w:rsidRPr="005C3ECB">
        <w:t xml:space="preserve"> </w:t>
      </w:r>
      <w:r w:rsidR="00644759">
        <w:t>C</w:t>
      </w:r>
      <w:r w:rsidR="005C3ECB">
        <w:t>linicians would be encouraged to only prescribe 30 days’ supply</w:t>
      </w:r>
      <w:r w:rsidR="005C3ECB" w:rsidRPr="005C3ECB">
        <w:t>.</w:t>
      </w:r>
    </w:p>
    <w:p w:rsidR="00117075" w:rsidRPr="00330617" w:rsidRDefault="00117075" w:rsidP="00117075">
      <w:pPr>
        <w:spacing w:before="100" w:beforeAutospacing="1" w:after="100" w:afterAutospacing="1" w:line="240" w:lineRule="auto"/>
      </w:pPr>
      <w:r w:rsidRPr="00330617">
        <w:t>Doctors will now need to physically sign prescriptions, rather than electronic copies being accepted by pharmacists. In addition, pharmacists must dispense the drugs within 28 days of the prescription being written.</w:t>
      </w:r>
    </w:p>
    <w:p w:rsidR="00E955A2" w:rsidRPr="00541FCA" w:rsidRDefault="00117075" w:rsidP="00541FCA">
      <w:r>
        <w:t>The change means it will be illegal to possess pregabalin and gabapentin without a prescription and it will be illegal to supply or sell them to others.</w:t>
      </w:r>
    </w:p>
    <w:p w:rsidR="00330617" w:rsidRDefault="00D8161B" w:rsidP="00330617">
      <w:r>
        <w:lastRenderedPageBreak/>
        <w:t>Common side effects</w:t>
      </w:r>
      <w:r w:rsidR="00340F53">
        <w:t xml:space="preserve"> of </w:t>
      </w:r>
      <w:r w:rsidR="00EA20E4">
        <w:t xml:space="preserve">gabapentin and pregabalin </w:t>
      </w:r>
      <w:r>
        <w:t xml:space="preserve">include dizziness, </w:t>
      </w:r>
      <w:r w:rsidR="00340F53">
        <w:t>drowsiness and balance issues. With gabapentin, t</w:t>
      </w:r>
      <w:r>
        <w:t xml:space="preserve">here have also been issues of respiratory depression, although this is not common. </w:t>
      </w:r>
      <w:r w:rsidR="00340F53">
        <w:t xml:space="preserve">Caution should be shown when initiating gabapentin in patients with compromised respiratory function or neurological disease, renal impairment, </w:t>
      </w:r>
      <w:r w:rsidR="00EA20E4">
        <w:t xml:space="preserve">and/or </w:t>
      </w:r>
      <w:r w:rsidR="00340F53">
        <w:t>concomitant use of CNS depressants</w:t>
      </w:r>
      <w:r w:rsidR="00590511">
        <w:t>.</w:t>
      </w:r>
      <w:r w:rsidR="00340F53">
        <w:t xml:space="preserve"> </w:t>
      </w:r>
      <w:r w:rsidR="00E97F9F">
        <w:t xml:space="preserve">Elderly </w:t>
      </w:r>
      <w:r w:rsidR="00590511">
        <w:t>people might</w:t>
      </w:r>
      <w:r w:rsidR="00340F53">
        <w:t xml:space="preserve"> be at higher risk of severe </w:t>
      </w:r>
      <w:r w:rsidR="00E97F9F">
        <w:t>respiratory depression</w:t>
      </w:r>
      <w:sdt>
        <w:sdtPr>
          <w:id w:val="15656172"/>
          <w:citation/>
        </w:sdtPr>
        <w:sdtEndPr/>
        <w:sdtContent>
          <w:r w:rsidR="00B3152F">
            <w:fldChar w:fldCharType="begin"/>
          </w:r>
          <w:r w:rsidR="00082E9F">
            <w:instrText xml:space="preserve"> CITATION Bri18 \l 2057 </w:instrText>
          </w:r>
          <w:r w:rsidR="00B3152F">
            <w:fldChar w:fldCharType="separate"/>
          </w:r>
          <w:r w:rsidR="000A69B9">
            <w:rPr>
              <w:noProof/>
            </w:rPr>
            <w:t xml:space="preserve"> </w:t>
          </w:r>
          <w:r w:rsidR="000A69B9" w:rsidRPr="00860D03">
            <w:rPr>
              <w:noProof/>
              <w:shd w:val="clear" w:color="auto" w:fill="BFBFBF" w:themeFill="background1" w:themeFillShade="BF"/>
            </w:rPr>
            <w:t>[8]</w:t>
          </w:r>
          <w:r w:rsidR="00B3152F">
            <w:fldChar w:fldCharType="end"/>
          </w:r>
        </w:sdtContent>
      </w:sdt>
      <w:r w:rsidR="00340F53">
        <w:t xml:space="preserve">. </w:t>
      </w:r>
    </w:p>
    <w:p w:rsidR="00DE13FE" w:rsidRDefault="00DE13FE" w:rsidP="00330617">
      <w:pPr>
        <w:pStyle w:val="Heading2"/>
      </w:pPr>
      <w:bookmarkStart w:id="4" w:name="_Toc529864503"/>
      <w:r>
        <w:t>High risk patients</w:t>
      </w:r>
      <w:bookmarkEnd w:id="4"/>
    </w:p>
    <w:p w:rsidR="005A0324" w:rsidRDefault="00C83145" w:rsidP="00DE13FE">
      <w:r>
        <w:t>Gabapent</w:t>
      </w:r>
      <w:r w:rsidR="005B1FB3">
        <w:t>i</w:t>
      </w:r>
      <w:r>
        <w:t>noids also have the potential for abuse</w:t>
      </w:r>
      <w:r w:rsidR="005A0324" w:rsidRPr="00F11CF8">
        <w:t xml:space="preserve"> and </w:t>
      </w:r>
      <w:r w:rsidR="00854ACC" w:rsidRPr="00F11CF8">
        <w:t>dependence</w:t>
      </w:r>
      <w:r w:rsidR="00854ACC" w:rsidRPr="00C83145">
        <w:rPr>
          <w:vertAlign w:val="superscript"/>
        </w:rPr>
        <w:t xml:space="preserve"> </w:t>
      </w:r>
      <w:r w:rsidR="00854ACC">
        <w:t>this</w:t>
      </w:r>
      <w:r>
        <w:t xml:space="preserve"> is particularly prevalent</w:t>
      </w:r>
      <w:r w:rsidR="005A0324" w:rsidRPr="00F11CF8">
        <w:t xml:space="preserve"> in people who misuse other drugs and in specific settings such as prisons</w:t>
      </w:r>
      <w:r w:rsidR="00374266" w:rsidRPr="00374266">
        <w:t xml:space="preserve"> </w:t>
      </w:r>
      <w:sdt>
        <w:sdtPr>
          <w:rPr>
            <w:shd w:val="clear" w:color="auto" w:fill="BFBFBF" w:themeFill="background1" w:themeFillShade="BF"/>
          </w:rPr>
          <w:id w:val="15656174"/>
          <w:citation/>
        </w:sdtPr>
        <w:sdtEndPr/>
        <w:sdtContent>
          <w:r w:rsidR="00B3152F" w:rsidRPr="00860D03">
            <w:rPr>
              <w:shd w:val="clear" w:color="auto" w:fill="BFBFBF" w:themeFill="background1" w:themeFillShade="BF"/>
            </w:rPr>
            <w:fldChar w:fldCharType="begin"/>
          </w:r>
          <w:r w:rsidR="00374266" w:rsidRPr="00860D03">
            <w:rPr>
              <w:shd w:val="clear" w:color="auto" w:fill="BFBFBF" w:themeFill="background1" w:themeFillShade="BF"/>
            </w:rPr>
            <w:instrText xml:space="preserve"> CITATION NHS14 \l 2057 </w:instrText>
          </w:r>
          <w:r w:rsidR="00B3152F" w:rsidRPr="00860D03">
            <w:rPr>
              <w:shd w:val="clear" w:color="auto" w:fill="BFBFBF" w:themeFill="background1" w:themeFillShade="BF"/>
            </w:rPr>
            <w:fldChar w:fldCharType="separate"/>
          </w:r>
          <w:r w:rsidR="000A69B9" w:rsidRPr="00860D03">
            <w:rPr>
              <w:noProof/>
              <w:shd w:val="clear" w:color="auto" w:fill="BFBFBF" w:themeFill="background1" w:themeFillShade="BF"/>
            </w:rPr>
            <w:t>[9]</w:t>
          </w:r>
          <w:r w:rsidR="00B3152F" w:rsidRPr="00860D03">
            <w:rPr>
              <w:shd w:val="clear" w:color="auto" w:fill="BFBFBF" w:themeFill="background1" w:themeFillShade="BF"/>
            </w:rPr>
            <w:fldChar w:fldCharType="end"/>
          </w:r>
        </w:sdtContent>
      </w:sdt>
      <w:r w:rsidR="005A0324" w:rsidRPr="00F11CF8">
        <w:t>.</w:t>
      </w:r>
      <w:r w:rsidR="00710105" w:rsidRPr="00F11CF8">
        <w:t xml:space="preserve"> Their mechanism for producing dependence is not yet well understood, </w:t>
      </w:r>
      <w:r w:rsidR="00C856F7">
        <w:t>though there may be</w:t>
      </w:r>
      <w:r w:rsidR="00710105" w:rsidRPr="00F11CF8">
        <w:t xml:space="preserve"> direct or indirect effects on the dopaminergic ‘reward’ system</w:t>
      </w:r>
      <w:sdt>
        <w:sdtPr>
          <w:id w:val="15656176"/>
          <w:citation/>
        </w:sdtPr>
        <w:sdtEndPr/>
        <w:sdtContent>
          <w:r w:rsidR="00B3152F">
            <w:fldChar w:fldCharType="begin"/>
          </w:r>
          <w:r w:rsidR="00374266">
            <w:instrText xml:space="preserve"> CITATION Cli17 \l 2057 </w:instrText>
          </w:r>
          <w:r w:rsidR="00B3152F">
            <w:fldChar w:fldCharType="separate"/>
          </w:r>
          <w:r w:rsidR="000A69B9">
            <w:rPr>
              <w:noProof/>
            </w:rPr>
            <w:t xml:space="preserve"> </w:t>
          </w:r>
          <w:r w:rsidR="000A69B9" w:rsidRPr="00860D03">
            <w:rPr>
              <w:noProof/>
              <w:shd w:val="clear" w:color="auto" w:fill="BFBFBF" w:themeFill="background1" w:themeFillShade="BF"/>
            </w:rPr>
            <w:t>[10]</w:t>
          </w:r>
          <w:r w:rsidR="00B3152F">
            <w:fldChar w:fldCharType="end"/>
          </w:r>
        </w:sdtContent>
      </w:sdt>
      <w:r w:rsidR="00177E4B" w:rsidRPr="00F11CF8">
        <w:t>.</w:t>
      </w:r>
      <w:r w:rsidR="005A0324" w:rsidRPr="00F11CF8">
        <w:t xml:space="preserve"> </w:t>
      </w:r>
      <w:r w:rsidR="005A0324" w:rsidRPr="00670384">
        <w:t>There appears to be more evidence of misuse than for dependence, however the summar</w:t>
      </w:r>
      <w:r w:rsidR="00C856F7">
        <w:t>ies</w:t>
      </w:r>
      <w:r w:rsidR="005A0324" w:rsidRPr="00670384">
        <w:t xml:space="preserve"> of product characteristics for both medicines caution about dependence. </w:t>
      </w:r>
    </w:p>
    <w:p w:rsidR="00E97F9F" w:rsidRPr="00F11CF8" w:rsidRDefault="00E97F9F" w:rsidP="00DE13FE">
      <w:r>
        <w:t>It is recommended</w:t>
      </w:r>
      <w:r w:rsidRPr="00A44AFE">
        <w:t xml:space="preserve"> that practitioners </w:t>
      </w:r>
      <w:r>
        <w:t xml:space="preserve">give careful consideration to the individual patient when </w:t>
      </w:r>
      <w:r w:rsidRPr="00A44AFE">
        <w:t>prescrib</w:t>
      </w:r>
      <w:r>
        <w:t>ing pregabalin and gabapenti</w:t>
      </w:r>
      <w:r w:rsidR="00590511">
        <w:t>n</w:t>
      </w:r>
      <w:r>
        <w:t xml:space="preserve"> to</w:t>
      </w:r>
      <w:r w:rsidRPr="00A44AFE">
        <w:t xml:space="preserve"> minimise the risk of misuse</w:t>
      </w:r>
      <w:r>
        <w:t>,</w:t>
      </w:r>
      <w:r w:rsidRPr="00A44AFE">
        <w:t xml:space="preserve"> dependence</w:t>
      </w:r>
      <w:r>
        <w:t>, and diversion.</w:t>
      </w:r>
      <w:r w:rsidRPr="00A44AFE">
        <w:t xml:space="preserve"> </w:t>
      </w:r>
      <w:r>
        <w:t>A</w:t>
      </w:r>
      <w:r w:rsidRPr="00A44AFE">
        <w:t xml:space="preserve">ssessment </w:t>
      </w:r>
      <w:r>
        <w:t>of the</w:t>
      </w:r>
      <w:r w:rsidRPr="00A44AFE">
        <w:t xml:space="preserve"> balance</w:t>
      </w:r>
      <w:r>
        <w:t xml:space="preserve"> of</w:t>
      </w:r>
      <w:r w:rsidRPr="00A44AFE">
        <w:t xml:space="preserve"> benefits </w:t>
      </w:r>
      <w:r>
        <w:t>and</w:t>
      </w:r>
      <w:r w:rsidRPr="00A44AFE">
        <w:t xml:space="preserve"> risks is essential</w:t>
      </w:r>
      <w:r w:rsidR="00590511">
        <w:t>.</w:t>
      </w:r>
    </w:p>
    <w:p w:rsidR="00602114" w:rsidRDefault="00602114" w:rsidP="00DE13FE">
      <w:r>
        <w:t>Patients may source gabapentinoids</w:t>
      </w:r>
      <w:r w:rsidR="003A212F" w:rsidRPr="003A212F">
        <w:t xml:space="preserve"> </w:t>
      </w:r>
      <w:r w:rsidR="003A212F">
        <w:t>illicitly</w:t>
      </w:r>
      <w:r>
        <w:t>. Referral to specialist substance misuse services is advised</w:t>
      </w:r>
      <w:r w:rsidR="003A212F">
        <w:t>, as required,</w:t>
      </w:r>
      <w:r>
        <w:t xml:space="preserve"> for assessment and psychological treatment of the underlying difficulties where the whole substance misuse picture will be considered.</w:t>
      </w:r>
    </w:p>
    <w:p w:rsidR="00A44AFE" w:rsidRDefault="003A212F" w:rsidP="00A44AFE">
      <w:r>
        <w:t>Individuals at h</w:t>
      </w:r>
      <w:r w:rsidR="00A44AFE">
        <w:t xml:space="preserve">igh risk </w:t>
      </w:r>
      <w:r>
        <w:t xml:space="preserve">of misusing or diverting gabapentinoids </w:t>
      </w:r>
      <w:r w:rsidR="00A44AFE">
        <w:t xml:space="preserve">may include those who: </w:t>
      </w:r>
    </w:p>
    <w:p w:rsidR="00A44AFE" w:rsidRDefault="00A44AFE" w:rsidP="00A44AFE">
      <w:pPr>
        <w:pStyle w:val="ListParagraph"/>
        <w:numPr>
          <w:ilvl w:val="0"/>
          <w:numId w:val="2"/>
        </w:numPr>
      </w:pPr>
      <w:r>
        <w:t xml:space="preserve">Have a history of substance misuse </w:t>
      </w:r>
    </w:p>
    <w:p w:rsidR="00A44AFE" w:rsidRDefault="00A44AFE" w:rsidP="00A44AFE">
      <w:pPr>
        <w:pStyle w:val="ListParagraph"/>
        <w:numPr>
          <w:ilvl w:val="0"/>
          <w:numId w:val="2"/>
        </w:numPr>
      </w:pPr>
      <w:r>
        <w:t xml:space="preserve">Make specific requests for initiation of either gabapentin or pregabalin </w:t>
      </w:r>
    </w:p>
    <w:p w:rsidR="00A44AFE" w:rsidRDefault="00A44AFE" w:rsidP="00A44AFE">
      <w:pPr>
        <w:pStyle w:val="ListParagraph"/>
        <w:numPr>
          <w:ilvl w:val="0"/>
          <w:numId w:val="2"/>
        </w:numPr>
      </w:pPr>
      <w:r>
        <w:t xml:space="preserve">Request pregabalin or gabapentin following liberation from prison service </w:t>
      </w:r>
    </w:p>
    <w:p w:rsidR="00A44AFE" w:rsidRDefault="00A44AFE" w:rsidP="00A44AFE">
      <w:pPr>
        <w:pStyle w:val="ListParagraph"/>
        <w:numPr>
          <w:ilvl w:val="0"/>
          <w:numId w:val="2"/>
        </w:numPr>
      </w:pPr>
      <w:r>
        <w:t xml:space="preserve">Make </w:t>
      </w:r>
      <w:r w:rsidR="00C856F7">
        <w:t xml:space="preserve">repeated </w:t>
      </w:r>
      <w:r>
        <w:t xml:space="preserve">early prescription requests </w:t>
      </w:r>
    </w:p>
    <w:p w:rsidR="00A44AFE" w:rsidRDefault="00C856F7" w:rsidP="00A44AFE">
      <w:pPr>
        <w:pStyle w:val="ListParagraph"/>
        <w:numPr>
          <w:ilvl w:val="0"/>
          <w:numId w:val="2"/>
        </w:numPr>
      </w:pPr>
      <w:r>
        <w:t>Repeatedly r</w:t>
      </w:r>
      <w:r w:rsidR="00D06848">
        <w:t>eport lost</w:t>
      </w:r>
      <w:r w:rsidR="00A44AFE">
        <w:t xml:space="preserve"> medication </w:t>
      </w:r>
      <w:r w:rsidR="00F23336">
        <w:t xml:space="preserve">– see </w:t>
      </w:r>
      <w:hyperlink w:anchor="_Appendix_8_–" w:history="1">
        <w:r w:rsidR="00F23336" w:rsidRPr="00450BE2">
          <w:rPr>
            <w:rStyle w:val="Hyperlink"/>
          </w:rPr>
          <w:t xml:space="preserve">appendix </w:t>
        </w:r>
        <w:r w:rsidR="00AB4CF8">
          <w:rPr>
            <w:rStyle w:val="Hyperlink"/>
          </w:rPr>
          <w:t>6</w:t>
        </w:r>
      </w:hyperlink>
      <w:r w:rsidR="00815E59">
        <w:rPr>
          <w:rStyle w:val="Hyperlink"/>
        </w:rPr>
        <w:t xml:space="preserve"> </w:t>
      </w:r>
      <w:r w:rsidR="00F23336">
        <w:t>for a useful tool</w:t>
      </w:r>
    </w:p>
    <w:p w:rsidR="00A44AFE" w:rsidRDefault="00A44AFE" w:rsidP="00A44AFE">
      <w:pPr>
        <w:pStyle w:val="ListParagraph"/>
        <w:numPr>
          <w:ilvl w:val="0"/>
          <w:numId w:val="2"/>
        </w:numPr>
      </w:pPr>
      <w:r>
        <w:t xml:space="preserve">Contact </w:t>
      </w:r>
      <w:r w:rsidR="00C856F7">
        <w:t xml:space="preserve">out of hours services </w:t>
      </w:r>
      <w:r>
        <w:t>for supplies of medication</w:t>
      </w:r>
    </w:p>
    <w:p w:rsidR="00A44AFE" w:rsidRDefault="00990525" w:rsidP="00DE13FE">
      <w:r>
        <w:t>Consider the</w:t>
      </w:r>
      <w:r w:rsidR="00E97F9F">
        <w:t xml:space="preserve"> following</w:t>
      </w:r>
      <w:r>
        <w:t xml:space="preserve"> as part of the initial assessment</w:t>
      </w:r>
      <w:r w:rsidR="00DE13FE">
        <w:t xml:space="preserve">: </w:t>
      </w:r>
    </w:p>
    <w:p w:rsidR="00A44AFE" w:rsidRDefault="00DE13FE" w:rsidP="000A213E">
      <w:pPr>
        <w:pStyle w:val="ListParagraph"/>
        <w:numPr>
          <w:ilvl w:val="0"/>
          <w:numId w:val="3"/>
        </w:numPr>
      </w:pPr>
      <w:r>
        <w:t>The r</w:t>
      </w:r>
      <w:r w:rsidR="00A44AFE">
        <w:t>isk of misuse</w:t>
      </w:r>
    </w:p>
    <w:p w:rsidR="00A44AFE" w:rsidRDefault="00DE13FE" w:rsidP="000A213E">
      <w:pPr>
        <w:pStyle w:val="ListParagraph"/>
        <w:numPr>
          <w:ilvl w:val="1"/>
          <w:numId w:val="3"/>
        </w:numPr>
      </w:pPr>
      <w:r>
        <w:t xml:space="preserve">The </w:t>
      </w:r>
      <w:hyperlink r:id="rId15" w:history="1">
        <w:r w:rsidR="00A44AFE" w:rsidRPr="00696DBC">
          <w:rPr>
            <w:rStyle w:val="Hyperlink"/>
          </w:rPr>
          <w:t>opioid risk tool</w:t>
        </w:r>
      </w:hyperlink>
      <w:r w:rsidR="00854ACC">
        <w:rPr>
          <w:rStyle w:val="FootnoteReference"/>
        </w:rPr>
        <w:footnoteReference w:id="1"/>
      </w:r>
      <w:sdt>
        <w:sdtPr>
          <w:id w:val="-999341256"/>
          <w:citation/>
        </w:sdtPr>
        <w:sdtEndPr/>
        <w:sdtContent>
          <w:r w:rsidR="00B3152F">
            <w:fldChar w:fldCharType="begin"/>
          </w:r>
          <w:r w:rsidR="00696DBC">
            <w:instrText xml:space="preserve"> CITATION Web05 \l 2057 </w:instrText>
          </w:r>
          <w:r w:rsidR="00B3152F">
            <w:fldChar w:fldCharType="separate"/>
          </w:r>
          <w:r w:rsidR="000A69B9">
            <w:rPr>
              <w:noProof/>
            </w:rPr>
            <w:t xml:space="preserve"> </w:t>
          </w:r>
          <w:r w:rsidR="000A69B9" w:rsidRPr="00860D03">
            <w:rPr>
              <w:noProof/>
              <w:shd w:val="clear" w:color="auto" w:fill="BFBFBF" w:themeFill="background1" w:themeFillShade="BF"/>
            </w:rPr>
            <w:t>[11]</w:t>
          </w:r>
          <w:r w:rsidR="00B3152F">
            <w:fldChar w:fldCharType="end"/>
          </w:r>
        </w:sdtContent>
      </w:sdt>
      <w:r w:rsidR="00A44AFE">
        <w:t xml:space="preserve"> </w:t>
      </w:r>
      <w:r>
        <w:t xml:space="preserve">may be useful in </w:t>
      </w:r>
      <w:r w:rsidR="00C856F7">
        <w:t xml:space="preserve">assisting with </w:t>
      </w:r>
      <w:r>
        <w:t>this determination</w:t>
      </w:r>
    </w:p>
    <w:p w:rsidR="00A44AFE" w:rsidRDefault="00DE13FE" w:rsidP="000A213E">
      <w:pPr>
        <w:pStyle w:val="ListParagraph"/>
        <w:numPr>
          <w:ilvl w:val="1"/>
          <w:numId w:val="3"/>
        </w:numPr>
      </w:pPr>
      <w:r>
        <w:t>Conside</w:t>
      </w:r>
      <w:r w:rsidR="003A6254">
        <w:t>r</w:t>
      </w:r>
      <w:r>
        <w:t xml:space="preserve"> the</w:t>
      </w:r>
      <w:r w:rsidR="00A44AFE">
        <w:t xml:space="preserve"> high risk factors above </w:t>
      </w:r>
    </w:p>
    <w:p w:rsidR="00990525" w:rsidRDefault="00990525" w:rsidP="000A213E">
      <w:pPr>
        <w:pStyle w:val="ListParagraph"/>
        <w:numPr>
          <w:ilvl w:val="0"/>
          <w:numId w:val="3"/>
        </w:numPr>
        <w:rPr>
          <w:color w:val="000000"/>
        </w:rPr>
      </w:pPr>
      <w:r>
        <w:rPr>
          <w:color w:val="000000"/>
        </w:rPr>
        <w:t xml:space="preserve">Whether </w:t>
      </w:r>
      <w:r w:rsidR="00DE13FE">
        <w:rPr>
          <w:color w:val="000000"/>
        </w:rPr>
        <w:t>there is a n</w:t>
      </w:r>
      <w:r w:rsidR="00A44AFE" w:rsidRPr="000A213E">
        <w:rPr>
          <w:color w:val="000000"/>
        </w:rPr>
        <w:t>europathic component to pain</w:t>
      </w:r>
      <w:r w:rsidR="00DE13FE">
        <w:rPr>
          <w:color w:val="000000"/>
        </w:rPr>
        <w:t xml:space="preserve"> </w:t>
      </w:r>
    </w:p>
    <w:p w:rsidR="00990525" w:rsidRDefault="00452208" w:rsidP="00990525">
      <w:pPr>
        <w:pStyle w:val="ListParagraph"/>
        <w:numPr>
          <w:ilvl w:val="1"/>
          <w:numId w:val="3"/>
        </w:numPr>
        <w:rPr>
          <w:color w:val="000000"/>
        </w:rPr>
      </w:pPr>
      <w:r>
        <w:rPr>
          <w:color w:val="000000"/>
        </w:rPr>
        <w:t>G</w:t>
      </w:r>
      <w:r w:rsidR="00DE13FE">
        <w:rPr>
          <w:color w:val="000000"/>
        </w:rPr>
        <w:t>abapentinoids are not licensed for non-neuropathic pain</w:t>
      </w:r>
      <w:r w:rsidR="00534B2C">
        <w:rPr>
          <w:color w:val="000000"/>
        </w:rPr>
        <w:t>.</w:t>
      </w:r>
    </w:p>
    <w:p w:rsidR="00A44AFE" w:rsidRPr="000A213E" w:rsidRDefault="00534B2C" w:rsidP="00990525">
      <w:pPr>
        <w:pStyle w:val="ListParagraph"/>
        <w:numPr>
          <w:ilvl w:val="1"/>
          <w:numId w:val="3"/>
        </w:numPr>
        <w:rPr>
          <w:color w:val="000000"/>
        </w:rPr>
      </w:pPr>
      <w:r>
        <w:rPr>
          <w:color w:val="000000"/>
        </w:rPr>
        <w:t xml:space="preserve"> The </w:t>
      </w:r>
      <w:hyperlink r:id="rId16" w:history="1">
        <w:r w:rsidRPr="00534B2C">
          <w:rPr>
            <w:rStyle w:val="Hyperlink"/>
          </w:rPr>
          <w:t>S-LANNS tool</w:t>
        </w:r>
      </w:hyperlink>
      <w:sdt>
        <w:sdtPr>
          <w:rPr>
            <w:rStyle w:val="Hyperlink"/>
          </w:rPr>
          <w:id w:val="-818798668"/>
          <w:citation/>
        </w:sdtPr>
        <w:sdtEndPr>
          <w:rPr>
            <w:rStyle w:val="Hyperlink"/>
          </w:rPr>
        </w:sdtEndPr>
        <w:sdtContent>
          <w:r w:rsidR="00B3152F">
            <w:rPr>
              <w:rStyle w:val="Hyperlink"/>
            </w:rPr>
            <w:fldChar w:fldCharType="begin"/>
          </w:r>
          <w:r w:rsidR="00FB5B39">
            <w:rPr>
              <w:rStyle w:val="Hyperlink"/>
            </w:rPr>
            <w:instrText xml:space="preserve"> CITATION Mic05 \l 2057 </w:instrText>
          </w:r>
          <w:r w:rsidR="00B3152F">
            <w:rPr>
              <w:rStyle w:val="Hyperlink"/>
            </w:rPr>
            <w:fldChar w:fldCharType="separate"/>
          </w:r>
          <w:r w:rsidR="000A69B9">
            <w:rPr>
              <w:rStyle w:val="Hyperlink"/>
              <w:noProof/>
            </w:rPr>
            <w:t xml:space="preserve"> </w:t>
          </w:r>
          <w:r w:rsidR="000A69B9" w:rsidRPr="00860D03">
            <w:rPr>
              <w:noProof/>
              <w:shd w:val="clear" w:color="auto" w:fill="BFBFBF" w:themeFill="background1" w:themeFillShade="BF"/>
            </w:rPr>
            <w:t>[12]</w:t>
          </w:r>
          <w:r w:rsidR="00B3152F">
            <w:rPr>
              <w:rStyle w:val="Hyperlink"/>
            </w:rPr>
            <w:fldChar w:fldCharType="end"/>
          </w:r>
        </w:sdtContent>
      </w:sdt>
      <w:r>
        <w:rPr>
          <w:color w:val="000000"/>
        </w:rPr>
        <w:t xml:space="preserve"> may be useful</w:t>
      </w:r>
    </w:p>
    <w:p w:rsidR="00990525" w:rsidRDefault="00990525" w:rsidP="000A213E">
      <w:pPr>
        <w:pStyle w:val="ListParagraph"/>
        <w:numPr>
          <w:ilvl w:val="0"/>
          <w:numId w:val="3"/>
        </w:numPr>
        <w:rPr>
          <w:color w:val="000000"/>
        </w:rPr>
      </w:pPr>
      <w:r>
        <w:rPr>
          <w:color w:val="000000"/>
        </w:rPr>
        <w:t>Previous management options</w:t>
      </w:r>
    </w:p>
    <w:p w:rsidR="00A44AFE" w:rsidRPr="000A213E" w:rsidRDefault="00A44AFE" w:rsidP="00990525">
      <w:pPr>
        <w:pStyle w:val="ListParagraph"/>
        <w:numPr>
          <w:ilvl w:val="1"/>
          <w:numId w:val="3"/>
        </w:numPr>
        <w:rPr>
          <w:color w:val="000000"/>
        </w:rPr>
      </w:pPr>
      <w:r w:rsidRPr="000A213E">
        <w:rPr>
          <w:color w:val="000000"/>
        </w:rPr>
        <w:t xml:space="preserve">Ensure </w:t>
      </w:r>
      <w:r w:rsidR="00324B80">
        <w:rPr>
          <w:color w:val="000000"/>
        </w:rPr>
        <w:t>1</w:t>
      </w:r>
      <w:r w:rsidR="00324B80" w:rsidRPr="00324B80">
        <w:rPr>
          <w:color w:val="000000"/>
          <w:vertAlign w:val="superscript"/>
        </w:rPr>
        <w:t>st</w:t>
      </w:r>
      <w:r w:rsidR="00324B80">
        <w:rPr>
          <w:color w:val="000000"/>
        </w:rPr>
        <w:t xml:space="preserve"> </w:t>
      </w:r>
      <w:r w:rsidRPr="000A213E">
        <w:rPr>
          <w:color w:val="000000"/>
        </w:rPr>
        <w:t xml:space="preserve">and </w:t>
      </w:r>
      <w:r w:rsidR="00324B80">
        <w:rPr>
          <w:color w:val="000000"/>
        </w:rPr>
        <w:t>2</w:t>
      </w:r>
      <w:r w:rsidR="00324B80" w:rsidRPr="00324B80">
        <w:rPr>
          <w:color w:val="000000"/>
          <w:vertAlign w:val="superscript"/>
        </w:rPr>
        <w:t>nd</w:t>
      </w:r>
      <w:r w:rsidR="00324B80">
        <w:rPr>
          <w:color w:val="000000"/>
        </w:rPr>
        <w:t xml:space="preserve"> </w:t>
      </w:r>
      <w:r w:rsidRPr="000A213E">
        <w:rPr>
          <w:color w:val="000000"/>
        </w:rPr>
        <w:t>l</w:t>
      </w:r>
      <w:r w:rsidR="00DE13FE">
        <w:rPr>
          <w:color w:val="000000"/>
        </w:rPr>
        <w:t>ine options have been trialled</w:t>
      </w:r>
      <w:r w:rsidR="00C856F7">
        <w:rPr>
          <w:color w:val="000000"/>
        </w:rPr>
        <w:t xml:space="preserve"> adequately</w:t>
      </w:r>
      <w:r w:rsidR="00DE13FE">
        <w:rPr>
          <w:color w:val="000000"/>
        </w:rPr>
        <w:t>, per local</w:t>
      </w:r>
      <w:r w:rsidR="00990525">
        <w:rPr>
          <w:color w:val="000000"/>
        </w:rPr>
        <w:t xml:space="preserve"> or national guidance</w:t>
      </w:r>
    </w:p>
    <w:p w:rsidR="00DB3B54" w:rsidRDefault="00DE13FE" w:rsidP="000A213E">
      <w:pPr>
        <w:pStyle w:val="ListParagraph"/>
        <w:numPr>
          <w:ilvl w:val="0"/>
          <w:numId w:val="3"/>
        </w:numPr>
        <w:rPr>
          <w:color w:val="000000"/>
        </w:rPr>
      </w:pPr>
      <w:r>
        <w:rPr>
          <w:color w:val="000000"/>
        </w:rPr>
        <w:t>A discussion on the risks</w:t>
      </w:r>
      <w:r w:rsidR="00A44AFE" w:rsidRPr="000A213E">
        <w:rPr>
          <w:color w:val="000000"/>
        </w:rPr>
        <w:t xml:space="preserve"> </w:t>
      </w:r>
      <w:r>
        <w:rPr>
          <w:color w:val="000000"/>
        </w:rPr>
        <w:t xml:space="preserve">of </w:t>
      </w:r>
      <w:r w:rsidR="00A44AFE" w:rsidRPr="000A213E">
        <w:rPr>
          <w:color w:val="000000"/>
        </w:rPr>
        <w:t>dependence</w:t>
      </w:r>
      <w:sdt>
        <w:sdtPr>
          <w:rPr>
            <w:color w:val="000000"/>
          </w:rPr>
          <w:id w:val="15656258"/>
          <w:citation/>
        </w:sdtPr>
        <w:sdtEndPr/>
        <w:sdtContent>
          <w:r w:rsidR="00B3152F">
            <w:rPr>
              <w:color w:val="000000"/>
            </w:rPr>
            <w:fldChar w:fldCharType="begin"/>
          </w:r>
          <w:r w:rsidR="00456A29">
            <w:rPr>
              <w:color w:val="000000"/>
            </w:rPr>
            <w:instrText xml:space="preserve"> CITATION NHS14 \l 2057 </w:instrText>
          </w:r>
          <w:r w:rsidR="00B3152F">
            <w:rPr>
              <w:color w:val="000000"/>
            </w:rPr>
            <w:fldChar w:fldCharType="separate"/>
          </w:r>
          <w:r w:rsidR="000A69B9">
            <w:rPr>
              <w:noProof/>
              <w:color w:val="000000"/>
            </w:rPr>
            <w:t xml:space="preserve"> </w:t>
          </w:r>
          <w:r w:rsidR="000A69B9" w:rsidRPr="00860D03">
            <w:rPr>
              <w:noProof/>
              <w:color w:val="000000"/>
              <w:shd w:val="clear" w:color="auto" w:fill="BFBFBF" w:themeFill="background1" w:themeFillShade="BF"/>
            </w:rPr>
            <w:t>[9]</w:t>
          </w:r>
          <w:r w:rsidR="00B3152F">
            <w:rPr>
              <w:color w:val="000000"/>
            </w:rPr>
            <w:fldChar w:fldCharType="end"/>
          </w:r>
        </w:sdtContent>
      </w:sdt>
    </w:p>
    <w:p w:rsidR="00A44AFE" w:rsidRDefault="00A44AFE" w:rsidP="00990525">
      <w:pPr>
        <w:pStyle w:val="ListParagraph"/>
        <w:numPr>
          <w:ilvl w:val="1"/>
          <w:numId w:val="3"/>
        </w:numPr>
        <w:rPr>
          <w:color w:val="000000"/>
        </w:rPr>
      </w:pPr>
      <w:r w:rsidRPr="00A14C3E">
        <w:rPr>
          <w:bCs/>
          <w:color w:val="000000"/>
        </w:rPr>
        <w:t>Consider daily or weekly dispensing</w:t>
      </w:r>
      <w:r w:rsidRPr="000A213E">
        <w:rPr>
          <w:b/>
          <w:bCs/>
          <w:color w:val="000000"/>
        </w:rPr>
        <w:t xml:space="preserve"> </w:t>
      </w:r>
      <w:r w:rsidR="000A213E">
        <w:rPr>
          <w:color w:val="000000"/>
        </w:rPr>
        <w:t xml:space="preserve">in </w:t>
      </w:r>
      <w:r w:rsidR="000A213E">
        <w:rPr>
          <w:i/>
          <w:color w:val="000000"/>
        </w:rPr>
        <w:t xml:space="preserve">at risk </w:t>
      </w:r>
      <w:r w:rsidRPr="000A213E">
        <w:rPr>
          <w:color w:val="000000"/>
        </w:rPr>
        <w:t xml:space="preserve">patients </w:t>
      </w:r>
    </w:p>
    <w:p w:rsidR="00674ACB" w:rsidRPr="00860D03" w:rsidRDefault="00657265" w:rsidP="00674ACB">
      <w:pPr>
        <w:rPr>
          <w:b/>
          <w:color w:val="000000"/>
        </w:rPr>
      </w:pPr>
      <w:hyperlink w:anchor="_Appendix_3_–" w:history="1">
        <w:r w:rsidR="00456A29">
          <w:rPr>
            <w:rStyle w:val="Hyperlink"/>
          </w:rPr>
          <w:t>Appendix 3</w:t>
        </w:r>
      </w:hyperlink>
      <w:r w:rsidR="00674ACB">
        <w:rPr>
          <w:color w:val="000000"/>
        </w:rPr>
        <w:t xml:space="preserve"> contains a template for a </w:t>
      </w:r>
      <w:r w:rsidR="00674ACB">
        <w:rPr>
          <w:i/>
          <w:color w:val="000000"/>
        </w:rPr>
        <w:t xml:space="preserve">prescribing agreement, </w:t>
      </w:r>
      <w:r w:rsidR="00674ACB">
        <w:rPr>
          <w:color w:val="000000"/>
        </w:rPr>
        <w:t xml:space="preserve">which may be of help with some </w:t>
      </w:r>
      <w:r w:rsidR="006610C9" w:rsidRPr="00E432DA">
        <w:rPr>
          <w:color w:val="000000"/>
        </w:rPr>
        <w:t xml:space="preserve">patients to ensure all parties are clear on how to proceed.  </w:t>
      </w:r>
      <w:r w:rsidR="006610C9" w:rsidRPr="00B00636">
        <w:rPr>
          <w:i/>
          <w:color w:val="000000"/>
        </w:rPr>
        <w:t xml:space="preserve"> </w:t>
      </w:r>
    </w:p>
    <w:p w:rsidR="00A44AFE" w:rsidRPr="00B00636" w:rsidRDefault="006610C9" w:rsidP="004B02D3">
      <w:pPr>
        <w:pStyle w:val="Heading2"/>
      </w:pPr>
      <w:bookmarkStart w:id="5" w:name="_Toc529864504"/>
      <w:r w:rsidRPr="00E432DA">
        <w:t>Review</w:t>
      </w:r>
      <w:bookmarkEnd w:id="5"/>
    </w:p>
    <w:p w:rsidR="000A213E" w:rsidRDefault="006610C9" w:rsidP="000A213E">
      <w:r w:rsidRPr="00E432DA">
        <w:t>It is important that practices monitor gabapentinoid prescriptions both in the individual patient and</w:t>
      </w:r>
      <w:r w:rsidR="000A213E">
        <w:t xml:space="preserve"> at practice level. </w:t>
      </w:r>
      <w:r w:rsidR="005A1A6C" w:rsidRPr="00A43AB8">
        <w:rPr>
          <w:b/>
        </w:rPr>
        <w:t>R</w:t>
      </w:r>
      <w:r w:rsidR="004B02D3" w:rsidRPr="004B02D3">
        <w:rPr>
          <w:b/>
        </w:rPr>
        <w:t>eview</w:t>
      </w:r>
      <w:r w:rsidR="00E532D2">
        <w:rPr>
          <w:b/>
        </w:rPr>
        <w:t xml:space="preserve"> at the individual level</w:t>
      </w:r>
      <w:r w:rsidR="004B02D3" w:rsidRPr="004B02D3">
        <w:rPr>
          <w:b/>
        </w:rPr>
        <w:t xml:space="preserve"> should take place </w:t>
      </w:r>
      <w:r w:rsidR="00883A8D">
        <w:rPr>
          <w:b/>
        </w:rPr>
        <w:t>at</w:t>
      </w:r>
      <w:r w:rsidR="00682C52">
        <w:rPr>
          <w:b/>
        </w:rPr>
        <w:t xml:space="preserve"> around</w:t>
      </w:r>
      <w:r w:rsidR="00883A8D">
        <w:rPr>
          <w:b/>
        </w:rPr>
        <w:t xml:space="preserve"> </w:t>
      </w:r>
      <w:r w:rsidR="008D23F5">
        <w:rPr>
          <w:b/>
        </w:rPr>
        <w:t>4</w:t>
      </w:r>
      <w:r w:rsidR="004B02D3" w:rsidRPr="004B02D3">
        <w:rPr>
          <w:b/>
        </w:rPr>
        <w:t xml:space="preserve"> </w:t>
      </w:r>
      <w:r w:rsidR="004B02D3" w:rsidRPr="005A1A6C">
        <w:rPr>
          <w:b/>
        </w:rPr>
        <w:t>weeks</w:t>
      </w:r>
      <w:r w:rsidR="00E532D2">
        <w:rPr>
          <w:b/>
        </w:rPr>
        <w:t xml:space="preserve"> after initiation of treatment (or earlier if appropriate)</w:t>
      </w:r>
      <w:r w:rsidR="004B02D3" w:rsidRPr="005A1A6C">
        <w:rPr>
          <w:b/>
        </w:rPr>
        <w:t xml:space="preserve"> </w:t>
      </w:r>
      <w:r w:rsidR="005249E5">
        <w:rPr>
          <w:b/>
        </w:rPr>
        <w:t xml:space="preserve">to check signs of efficacy, </w:t>
      </w:r>
      <w:r w:rsidR="00AB0F99">
        <w:rPr>
          <w:b/>
        </w:rPr>
        <w:t>tolerance</w:t>
      </w:r>
      <w:r w:rsidR="005249E5">
        <w:rPr>
          <w:b/>
        </w:rPr>
        <w:t xml:space="preserve"> and adverse effects</w:t>
      </w:r>
      <w:r w:rsidR="00A43AB8">
        <w:t xml:space="preserve">. </w:t>
      </w:r>
      <w:r w:rsidR="00AB0F99">
        <w:t xml:space="preserve">Further reviews and titration </w:t>
      </w:r>
      <w:r w:rsidR="005249E5">
        <w:t>may</w:t>
      </w:r>
      <w:r w:rsidR="00AB0F99">
        <w:t xml:space="preserve"> be required for the next two months. </w:t>
      </w:r>
      <w:r w:rsidR="00A43AB8">
        <w:t>T</w:t>
      </w:r>
      <w:r w:rsidR="004B02D3">
        <w:t>he medicine</w:t>
      </w:r>
      <w:r w:rsidR="00AB0F99">
        <w:t xml:space="preserve"> should be</w:t>
      </w:r>
      <w:r w:rsidR="004B02D3">
        <w:t xml:space="preserve"> stopped</w:t>
      </w:r>
      <w:r w:rsidR="004C30E1">
        <w:t xml:space="preserve"> (normally this is done gradually- </w:t>
      </w:r>
      <w:bookmarkStart w:id="6" w:name="_Hlt530044265"/>
      <w:r w:rsidR="00621598">
        <w:fldChar w:fldCharType="begin"/>
      </w:r>
      <w:r w:rsidR="00621598">
        <w:instrText xml:space="preserve"> HYPERLINK  \l "_How_to_reduce" </w:instrText>
      </w:r>
      <w:r w:rsidR="00621598">
        <w:fldChar w:fldCharType="separate"/>
      </w:r>
      <w:r w:rsidR="004C30E1" w:rsidRPr="00621598">
        <w:rPr>
          <w:rStyle w:val="Hyperlink"/>
        </w:rPr>
        <w:t>see below</w:t>
      </w:r>
      <w:bookmarkEnd w:id="6"/>
      <w:r w:rsidR="00621598">
        <w:fldChar w:fldCharType="end"/>
      </w:r>
      <w:r w:rsidR="004C30E1">
        <w:t xml:space="preserve">) </w:t>
      </w:r>
      <w:r w:rsidR="004B02D3">
        <w:t xml:space="preserve">if no improvement </w:t>
      </w:r>
      <w:r w:rsidR="00F20BDC">
        <w:t xml:space="preserve">or </w:t>
      </w:r>
      <w:r w:rsidR="007922D0" w:rsidRPr="007922D0">
        <w:rPr>
          <w:color w:val="000000" w:themeColor="text1"/>
        </w:rPr>
        <w:t>insufficient</w:t>
      </w:r>
      <w:r w:rsidR="00F20BDC" w:rsidRPr="007922D0">
        <w:rPr>
          <w:color w:val="000000" w:themeColor="text1"/>
        </w:rPr>
        <w:t xml:space="preserve"> improvement </w:t>
      </w:r>
      <w:r w:rsidR="004B02D3">
        <w:t>is seen</w:t>
      </w:r>
      <w:r w:rsidR="00E532D2">
        <w:t xml:space="preserve"> after two months</w:t>
      </w:r>
      <w:r w:rsidR="004B02D3">
        <w:t xml:space="preserve">. </w:t>
      </w:r>
      <w:r w:rsidR="000A213E">
        <w:t xml:space="preserve">Many patients </w:t>
      </w:r>
      <w:r w:rsidR="007605F3">
        <w:t>whose</w:t>
      </w:r>
      <w:r w:rsidR="000A213E">
        <w:t xml:space="preserve"> pain is well controlled manage</w:t>
      </w:r>
      <w:r w:rsidR="00E532D2">
        <w:t xml:space="preserve"> eventually</w:t>
      </w:r>
      <w:r w:rsidR="000A213E">
        <w:t xml:space="preserve"> to successfully reduce their dose of </w:t>
      </w:r>
      <w:r w:rsidR="007F1F7A">
        <w:t>gabapentinoids, and they should be</w:t>
      </w:r>
      <w:r w:rsidR="00E532D2">
        <w:t xml:space="preserve"> invited to try this, with</w:t>
      </w:r>
      <w:r w:rsidR="007F1F7A">
        <w:t xml:space="preserve"> support in trying to do </w:t>
      </w:r>
      <w:r w:rsidR="00E532D2">
        <w:t>it</w:t>
      </w:r>
      <w:r w:rsidR="000A213E">
        <w:t xml:space="preserve">. </w:t>
      </w:r>
      <w:r w:rsidR="004B02D3" w:rsidRPr="004B02D3">
        <w:rPr>
          <w:b/>
        </w:rPr>
        <w:t>Subsequent</w:t>
      </w:r>
      <w:r w:rsidR="004B02D3">
        <w:t xml:space="preserve"> r</w:t>
      </w:r>
      <w:r w:rsidR="00A14C3E" w:rsidRPr="00A14C3E">
        <w:rPr>
          <w:b/>
        </w:rPr>
        <w:t>eview should take place at least annually</w:t>
      </w:r>
      <w:r w:rsidR="00A14C3E">
        <w:t xml:space="preserve">, more frequently in high risk patients and those who are having their dose changed (increased or decreased). </w:t>
      </w:r>
    </w:p>
    <w:p w:rsidR="000A213E" w:rsidRDefault="000A213E" w:rsidP="000A213E">
      <w:r>
        <w:t xml:space="preserve">Repeat prescribing of gabapentinoids must be avoided in high-risk patients unless there are strict processes in place to monitor for over-ordering and dispensing. Consider adopting a </w:t>
      </w:r>
      <w:hyperlink r:id="rId17" w:history="1">
        <w:r w:rsidR="00E432DA">
          <w:rPr>
            <w:rStyle w:val="Hyperlink"/>
          </w:rPr>
          <w:t>practice analgesic policy</w:t>
        </w:r>
      </w:hyperlink>
      <w:sdt>
        <w:sdtPr>
          <w:rPr>
            <w:rStyle w:val="Hyperlink"/>
          </w:rPr>
          <w:id w:val="-301387188"/>
          <w:citation/>
        </w:sdtPr>
        <w:sdtEndPr>
          <w:rPr>
            <w:rStyle w:val="Hyperlink"/>
          </w:rPr>
        </w:sdtEndPr>
        <w:sdtContent>
          <w:r w:rsidR="00B3152F">
            <w:rPr>
              <w:rStyle w:val="Hyperlink"/>
            </w:rPr>
            <w:fldChar w:fldCharType="begin"/>
          </w:r>
          <w:r w:rsidR="00AF7839">
            <w:rPr>
              <w:rStyle w:val="Hyperlink"/>
            </w:rPr>
            <w:instrText xml:space="preserve"> CITATION Sam18 \l 2057 </w:instrText>
          </w:r>
          <w:r w:rsidR="00B3152F">
            <w:rPr>
              <w:rStyle w:val="Hyperlink"/>
            </w:rPr>
            <w:fldChar w:fldCharType="separate"/>
          </w:r>
          <w:r w:rsidR="000A69B9">
            <w:rPr>
              <w:rStyle w:val="Hyperlink"/>
              <w:noProof/>
            </w:rPr>
            <w:t xml:space="preserve"> </w:t>
          </w:r>
          <w:r w:rsidR="000A69B9" w:rsidRPr="00860D03">
            <w:rPr>
              <w:noProof/>
              <w:shd w:val="clear" w:color="auto" w:fill="BFBFBF" w:themeFill="background1" w:themeFillShade="BF"/>
            </w:rPr>
            <w:t>[13]</w:t>
          </w:r>
          <w:r w:rsidR="00B3152F">
            <w:rPr>
              <w:rStyle w:val="Hyperlink"/>
            </w:rPr>
            <w:fldChar w:fldCharType="end"/>
          </w:r>
        </w:sdtContent>
      </w:sdt>
      <w:r>
        <w:t xml:space="preserve"> </w:t>
      </w:r>
    </w:p>
    <w:p w:rsidR="000A213E" w:rsidRDefault="000A213E" w:rsidP="000A213E">
      <w:r>
        <w:t xml:space="preserve">Patients who have been </w:t>
      </w:r>
      <w:r w:rsidR="007F1F7A">
        <w:t xml:space="preserve">receiving gabapentinoid </w:t>
      </w:r>
      <w:r w:rsidR="00A5680C">
        <w:t xml:space="preserve">prescriptions </w:t>
      </w:r>
      <w:r w:rsidR="00EF3395">
        <w:t>should</w:t>
      </w:r>
      <w:r>
        <w:t xml:space="preserve"> be reassessed </w:t>
      </w:r>
      <w:r w:rsidR="00D222E0">
        <w:t>at least annually</w:t>
      </w:r>
      <w:r w:rsidR="00A5680C">
        <w:t xml:space="preserve">, </w:t>
      </w:r>
      <w:r>
        <w:t>to establish ongoing need and risk of misuse. The original indication for the prescription should be discussed and alternative treatments considered</w:t>
      </w:r>
      <w:r w:rsidR="001272BD">
        <w:t xml:space="preserve">, per </w:t>
      </w:r>
      <w:hyperlink r:id="rId18" w:history="1">
        <w:r w:rsidR="001272BD" w:rsidRPr="00590511">
          <w:rPr>
            <w:rStyle w:val="Hyperlink"/>
          </w:rPr>
          <w:t>SIGN 136</w:t>
        </w:r>
      </w:hyperlink>
      <w:sdt>
        <w:sdtPr>
          <w:rPr>
            <w:rStyle w:val="Hyperlink"/>
          </w:rPr>
          <w:id w:val="452995105"/>
          <w:citation/>
        </w:sdtPr>
        <w:sdtEndPr>
          <w:rPr>
            <w:rStyle w:val="Hyperlink"/>
          </w:rPr>
        </w:sdtEndPr>
        <w:sdtContent>
          <w:r w:rsidR="00B3152F">
            <w:rPr>
              <w:rStyle w:val="Hyperlink"/>
            </w:rPr>
            <w:fldChar w:fldCharType="begin"/>
          </w:r>
          <w:r w:rsidR="00857850">
            <w:rPr>
              <w:rStyle w:val="Hyperlink"/>
            </w:rPr>
            <w:instrText xml:space="preserve"> CITATION Sco13 \l 2057 </w:instrText>
          </w:r>
          <w:r w:rsidR="00B3152F">
            <w:rPr>
              <w:rStyle w:val="Hyperlink"/>
            </w:rPr>
            <w:fldChar w:fldCharType="separate"/>
          </w:r>
          <w:r w:rsidR="000A69B9">
            <w:rPr>
              <w:rStyle w:val="Hyperlink"/>
              <w:noProof/>
            </w:rPr>
            <w:t xml:space="preserve"> </w:t>
          </w:r>
          <w:r w:rsidR="000A69B9" w:rsidRPr="00860D03">
            <w:rPr>
              <w:noProof/>
              <w:shd w:val="clear" w:color="auto" w:fill="BFBFBF" w:themeFill="background1" w:themeFillShade="BF"/>
            </w:rPr>
            <w:t>[3]</w:t>
          </w:r>
          <w:r w:rsidR="00B3152F">
            <w:rPr>
              <w:rStyle w:val="Hyperlink"/>
            </w:rPr>
            <w:fldChar w:fldCharType="end"/>
          </w:r>
        </w:sdtContent>
      </w:sdt>
      <w:r>
        <w:t xml:space="preserve">. </w:t>
      </w:r>
    </w:p>
    <w:p w:rsidR="00450BE2" w:rsidRDefault="000A213E" w:rsidP="000A213E">
      <w:r>
        <w:t>Patients may require support and advice about pain management.</w:t>
      </w:r>
      <w:r w:rsidR="00DD2629" w:rsidRPr="00DD2629">
        <w:t xml:space="preserve"> </w:t>
      </w:r>
      <w:r w:rsidR="00DD2629">
        <w:t xml:space="preserve"> These include </w:t>
      </w:r>
      <w:hyperlink r:id="rId19" w:history="1">
        <w:r w:rsidR="00DD2629" w:rsidRPr="007F1F7A">
          <w:rPr>
            <w:rStyle w:val="Hyperlink"/>
          </w:rPr>
          <w:t>SIGN Guideline for Patients</w:t>
        </w:r>
      </w:hyperlink>
      <w:sdt>
        <w:sdtPr>
          <w:rPr>
            <w:rStyle w:val="Hyperlink"/>
          </w:rPr>
          <w:id w:val="236371740"/>
          <w:citation/>
        </w:sdtPr>
        <w:sdtEndPr>
          <w:rPr>
            <w:rStyle w:val="Hyperlink"/>
          </w:rPr>
        </w:sdtEndPr>
        <w:sdtContent>
          <w:r w:rsidR="00B3152F">
            <w:rPr>
              <w:rStyle w:val="Hyperlink"/>
            </w:rPr>
            <w:fldChar w:fldCharType="begin"/>
          </w:r>
          <w:r w:rsidR="00857850">
            <w:rPr>
              <w:rStyle w:val="Hyperlink"/>
            </w:rPr>
            <w:instrText xml:space="preserve"> CITATION Sco13 \l 2057 </w:instrText>
          </w:r>
          <w:r w:rsidR="00B3152F">
            <w:rPr>
              <w:rStyle w:val="Hyperlink"/>
            </w:rPr>
            <w:fldChar w:fldCharType="separate"/>
          </w:r>
          <w:r w:rsidR="000A69B9">
            <w:rPr>
              <w:rStyle w:val="Hyperlink"/>
              <w:noProof/>
            </w:rPr>
            <w:t xml:space="preserve"> </w:t>
          </w:r>
          <w:r w:rsidR="000A69B9" w:rsidRPr="00860D03">
            <w:rPr>
              <w:noProof/>
              <w:shd w:val="clear" w:color="auto" w:fill="BFBFBF" w:themeFill="background1" w:themeFillShade="BF"/>
            </w:rPr>
            <w:t>[3]</w:t>
          </w:r>
          <w:r w:rsidR="00B3152F">
            <w:rPr>
              <w:rStyle w:val="Hyperlink"/>
            </w:rPr>
            <w:fldChar w:fldCharType="end"/>
          </w:r>
        </w:sdtContent>
      </w:sdt>
      <w:r w:rsidR="00DD2629">
        <w:t>, which also lists useful materials and websites.</w:t>
      </w:r>
      <w:r>
        <w:t xml:space="preserve"> </w:t>
      </w:r>
      <w:r w:rsidR="007A39BC">
        <w:t>R</w:t>
      </w:r>
      <w:r>
        <w:t>eferra</w:t>
      </w:r>
      <w:r w:rsidR="004D076F">
        <w:t>l to Pain Association Scotland, Pain Concern</w:t>
      </w:r>
      <w:r w:rsidR="007F1F7A">
        <w:t xml:space="preserve">, or other self-management supports </w:t>
      </w:r>
      <w:r w:rsidR="00C858C2">
        <w:t>should be actively encouraged</w:t>
      </w:r>
      <w:r w:rsidR="007F1F7A">
        <w:t xml:space="preserve"> offered as required</w:t>
      </w:r>
      <w:r w:rsidR="00DD2629" w:rsidDel="00DD2629">
        <w:t xml:space="preserve"> </w:t>
      </w:r>
      <w:r w:rsidR="00450BE2">
        <w:t xml:space="preserve">All review </w:t>
      </w:r>
      <w:r w:rsidR="00C56C00">
        <w:t xml:space="preserve">of medicines </w:t>
      </w:r>
      <w:r w:rsidR="00450BE2">
        <w:t xml:space="preserve">should be conducted in a holistic way. Further information is available within Scottish Government </w:t>
      </w:r>
      <w:hyperlink r:id="rId20" w:history="1">
        <w:r w:rsidR="00450BE2" w:rsidRPr="00450BE2">
          <w:rPr>
            <w:rStyle w:val="Hyperlink"/>
            <w:i/>
          </w:rPr>
          <w:t>Polypharmacy Guidance</w:t>
        </w:r>
      </w:hyperlink>
      <w:sdt>
        <w:sdtPr>
          <w:rPr>
            <w:rStyle w:val="Hyperlink"/>
            <w:i/>
          </w:rPr>
          <w:id w:val="1040015703"/>
          <w:citation/>
        </w:sdtPr>
        <w:sdtEndPr>
          <w:rPr>
            <w:rStyle w:val="Hyperlink"/>
          </w:rPr>
        </w:sdtEndPr>
        <w:sdtContent>
          <w:r w:rsidR="00B3152F">
            <w:rPr>
              <w:rStyle w:val="Hyperlink"/>
              <w:i/>
            </w:rPr>
            <w:fldChar w:fldCharType="begin"/>
          </w:r>
          <w:r w:rsidR="00857850">
            <w:rPr>
              <w:rStyle w:val="Hyperlink"/>
              <w:i/>
            </w:rPr>
            <w:instrText xml:space="preserve"> CITATION Eff18 \l 2057 </w:instrText>
          </w:r>
          <w:r w:rsidR="00B3152F">
            <w:rPr>
              <w:rStyle w:val="Hyperlink"/>
              <w:i/>
            </w:rPr>
            <w:fldChar w:fldCharType="separate"/>
          </w:r>
          <w:r w:rsidR="000A69B9">
            <w:rPr>
              <w:rStyle w:val="Hyperlink"/>
              <w:i/>
              <w:noProof/>
            </w:rPr>
            <w:t xml:space="preserve"> </w:t>
          </w:r>
          <w:r w:rsidR="000A69B9" w:rsidRPr="00860D03">
            <w:rPr>
              <w:noProof/>
              <w:shd w:val="clear" w:color="auto" w:fill="BFBFBF" w:themeFill="background1" w:themeFillShade="BF"/>
            </w:rPr>
            <w:t>[14]</w:t>
          </w:r>
          <w:r w:rsidR="00B3152F">
            <w:rPr>
              <w:rStyle w:val="Hyperlink"/>
              <w:i/>
            </w:rPr>
            <w:fldChar w:fldCharType="end"/>
          </w:r>
        </w:sdtContent>
      </w:sdt>
      <w:r w:rsidR="00450BE2">
        <w:t xml:space="preserve">. </w:t>
      </w:r>
    </w:p>
    <w:p w:rsidR="000A213E" w:rsidRDefault="000A213E" w:rsidP="004B02D3">
      <w:pPr>
        <w:pStyle w:val="Heading2"/>
      </w:pPr>
      <w:bookmarkStart w:id="7" w:name="_Toc529864505"/>
      <w:r>
        <w:t xml:space="preserve">How to </w:t>
      </w:r>
      <w:r w:rsidR="00975433">
        <w:t>achieve the correct dosage</w:t>
      </w:r>
      <w:bookmarkEnd w:id="7"/>
    </w:p>
    <w:p w:rsidR="000A213E" w:rsidRDefault="00F11BAE" w:rsidP="000A213E">
      <w:r>
        <w:t>The following principles may be useful</w:t>
      </w:r>
      <w:r w:rsidR="00141D8A">
        <w:t xml:space="preserve"> in the process of</w:t>
      </w:r>
      <w:r w:rsidR="00975433">
        <w:t xml:space="preserve"> </w:t>
      </w:r>
      <w:r w:rsidR="00141D8A">
        <w:t>determining</w:t>
      </w:r>
      <w:r w:rsidR="00975433">
        <w:t xml:space="preserve"> the correct dose for a patient</w:t>
      </w:r>
      <w:r>
        <w:t>:</w:t>
      </w:r>
      <w:r w:rsidR="000116C0">
        <w:t xml:space="preserve"> Useful patient information leaflet on medicines for long term pain are available from </w:t>
      </w:r>
      <w:hyperlink r:id="rId21" w:history="1">
        <w:r w:rsidR="000116C0" w:rsidRPr="000116C0">
          <w:rPr>
            <w:rStyle w:val="Hyperlink"/>
          </w:rPr>
          <w:t>Pain Concern</w:t>
        </w:r>
      </w:hyperlink>
      <w:sdt>
        <w:sdtPr>
          <w:rPr>
            <w:rStyle w:val="Hyperlink"/>
          </w:rPr>
          <w:id w:val="-1684429632"/>
          <w:citation/>
        </w:sdtPr>
        <w:sdtEndPr>
          <w:rPr>
            <w:rStyle w:val="Hyperlink"/>
          </w:rPr>
        </w:sdtEndPr>
        <w:sdtContent>
          <w:r w:rsidR="00B3152F">
            <w:rPr>
              <w:rStyle w:val="Hyperlink"/>
            </w:rPr>
            <w:fldChar w:fldCharType="begin"/>
          </w:r>
          <w:r w:rsidR="00C227D9">
            <w:rPr>
              <w:rStyle w:val="Hyperlink"/>
            </w:rPr>
            <w:instrText xml:space="preserve">CITATION Pai17 \l 2057 </w:instrText>
          </w:r>
          <w:r w:rsidR="00B3152F">
            <w:rPr>
              <w:rStyle w:val="Hyperlink"/>
            </w:rPr>
            <w:fldChar w:fldCharType="separate"/>
          </w:r>
          <w:r w:rsidR="000A69B9">
            <w:rPr>
              <w:rStyle w:val="Hyperlink"/>
              <w:noProof/>
            </w:rPr>
            <w:t xml:space="preserve"> </w:t>
          </w:r>
          <w:r w:rsidR="000A69B9" w:rsidRPr="00860D03">
            <w:rPr>
              <w:noProof/>
              <w:shd w:val="clear" w:color="auto" w:fill="BFBFBF" w:themeFill="background1" w:themeFillShade="BF"/>
            </w:rPr>
            <w:t>[15]</w:t>
          </w:r>
          <w:r w:rsidR="00B3152F">
            <w:rPr>
              <w:rStyle w:val="Hyperlink"/>
            </w:rPr>
            <w:fldChar w:fldCharType="end"/>
          </w:r>
        </w:sdtContent>
      </w:sdt>
      <w:r w:rsidR="008B364B">
        <w:t>.</w:t>
      </w:r>
    </w:p>
    <w:p w:rsidR="00DB73F6" w:rsidRDefault="00DB73F6" w:rsidP="00DB73F6">
      <w:pPr>
        <w:pStyle w:val="ListParagraph"/>
        <w:numPr>
          <w:ilvl w:val="0"/>
          <w:numId w:val="4"/>
        </w:numPr>
      </w:pPr>
      <w:r>
        <w:t xml:space="preserve">A </w:t>
      </w:r>
      <w:r w:rsidR="00D31AA2">
        <w:t>titrated</w:t>
      </w:r>
      <w:r>
        <w:t xml:space="preserve"> approach</w:t>
      </w:r>
      <w:r w:rsidR="00C858C2">
        <w:t xml:space="preserve">, taking into consideration patient characteristics, </w:t>
      </w:r>
      <w:r w:rsidR="00C227D9">
        <w:t>e.g.</w:t>
      </w:r>
      <w:r w:rsidR="00C858C2">
        <w:t xml:space="preserve"> elderly, renal</w:t>
      </w:r>
      <w:r w:rsidR="00C227D9">
        <w:t xml:space="preserve"> </w:t>
      </w:r>
      <w:r w:rsidR="00C858C2">
        <w:t>impairment, breast feeding etc</w:t>
      </w:r>
      <w:r w:rsidR="005B1FB3">
        <w:t>.</w:t>
      </w:r>
      <w:r>
        <w:t xml:space="preserve"> to initiation of both gabapentin and pregabalin is recommended. </w:t>
      </w:r>
    </w:p>
    <w:p w:rsidR="00A07DA9" w:rsidRDefault="00A07DA9" w:rsidP="00A07DA9">
      <w:pPr>
        <w:pStyle w:val="ListParagraph"/>
        <w:numPr>
          <w:ilvl w:val="1"/>
          <w:numId w:val="4"/>
        </w:numPr>
      </w:pPr>
      <w:r>
        <w:t xml:space="preserve">Gabapentin usually starts at 300mg at night and titrates upwards usually by 300mg per week. Evidence suggests that a minimum of 1200mg is needed and doses may need to be increased to the maximum of 3600mg. </w:t>
      </w:r>
    </w:p>
    <w:p w:rsidR="00A07DA9" w:rsidRDefault="00A07DA9" w:rsidP="00A07DA9">
      <w:pPr>
        <w:pStyle w:val="ListParagraph"/>
        <w:numPr>
          <w:ilvl w:val="1"/>
          <w:numId w:val="4"/>
        </w:numPr>
      </w:pPr>
      <w:r>
        <w:t xml:space="preserve">Pregabalin usually starts at 75mg twice daily up to a maximum of 300mg twice daily. This would be managed according to side effects and clinical effectiveness. </w:t>
      </w:r>
    </w:p>
    <w:p w:rsidR="00141D8A" w:rsidRPr="005B05F1" w:rsidRDefault="00141D8A" w:rsidP="005B05F1">
      <w:pPr>
        <w:pStyle w:val="ListParagraph"/>
        <w:numPr>
          <w:ilvl w:val="0"/>
          <w:numId w:val="4"/>
        </w:numPr>
        <w:autoSpaceDE w:val="0"/>
        <w:autoSpaceDN w:val="0"/>
        <w:adjustRightInd w:val="0"/>
        <w:spacing w:after="0" w:line="240" w:lineRule="auto"/>
        <w:rPr>
          <w:rFonts w:ascii="Arial" w:hAnsi="Arial" w:cs="Arial"/>
          <w:color w:val="000000"/>
          <w:sz w:val="23"/>
          <w:szCs w:val="23"/>
        </w:rPr>
      </w:pPr>
      <w:r>
        <w:t>Regular review should be scheduled, particularly during the initiation phase</w:t>
      </w:r>
      <w:r w:rsidR="005B1FB3">
        <w:t xml:space="preserve">. </w:t>
      </w:r>
      <w:r>
        <w:t>Medication should be stopped if there is no</w:t>
      </w:r>
      <w:r w:rsidR="00E532D2">
        <w:t>, or insufficient</w:t>
      </w:r>
      <w:r>
        <w:t xml:space="preserve"> effect</w:t>
      </w:r>
      <w:r w:rsidR="007C63BA">
        <w:t xml:space="preserve"> (</w:t>
      </w:r>
      <w:r w:rsidR="005B05F1">
        <w:t>see page 4 for NNTs)</w:t>
      </w:r>
    </w:p>
    <w:p w:rsidR="00141D8A" w:rsidRDefault="00141D8A" w:rsidP="000A213E">
      <w:pPr>
        <w:pStyle w:val="ListParagraph"/>
        <w:numPr>
          <w:ilvl w:val="0"/>
          <w:numId w:val="4"/>
        </w:numPr>
      </w:pPr>
      <w:r w:rsidRPr="005B05F1">
        <w:rPr>
          <w:sz w:val="23"/>
          <w:szCs w:val="23"/>
        </w:rPr>
        <w:t xml:space="preserve">A trial of dose reduction/cessation should be undertaken, following a </w:t>
      </w:r>
      <w:r w:rsidR="00C227D9">
        <w:t>peri</w:t>
      </w:r>
      <w:r>
        <w:t>od of stability</w:t>
      </w:r>
    </w:p>
    <w:p w:rsidR="000A213E" w:rsidRDefault="00141D8A" w:rsidP="000A213E">
      <w:pPr>
        <w:pStyle w:val="ListParagraph"/>
        <w:numPr>
          <w:ilvl w:val="0"/>
          <w:numId w:val="4"/>
        </w:numPr>
      </w:pPr>
      <w:r>
        <w:t xml:space="preserve">Stepping up should be closely monitored. </w:t>
      </w:r>
      <w:r w:rsidR="000A213E">
        <w:t>Dispense daily or weekly in high-risk patients</w:t>
      </w:r>
    </w:p>
    <w:p w:rsidR="000A213E" w:rsidRDefault="000A213E" w:rsidP="000A213E">
      <w:pPr>
        <w:pStyle w:val="ListParagraph"/>
        <w:numPr>
          <w:ilvl w:val="0"/>
          <w:numId w:val="4"/>
        </w:numPr>
      </w:pPr>
      <w:r>
        <w:t xml:space="preserve">Aim to maintain patients on </w:t>
      </w:r>
      <w:r w:rsidR="00F11BAE">
        <w:t xml:space="preserve">the </w:t>
      </w:r>
      <w:r>
        <w:t xml:space="preserve">minimum dose which controls pain </w:t>
      </w:r>
    </w:p>
    <w:p w:rsidR="000A213E" w:rsidRDefault="000A213E" w:rsidP="000A213E">
      <w:pPr>
        <w:pStyle w:val="ListParagraph"/>
        <w:numPr>
          <w:ilvl w:val="0"/>
          <w:numId w:val="4"/>
        </w:numPr>
      </w:pPr>
      <w:r>
        <w:lastRenderedPageBreak/>
        <w:t>Where patients fail to engage with the review process, consideration should be given to gradual dose reduction and withdrawa</w:t>
      </w:r>
      <w:r w:rsidR="007605F3">
        <w:t>l of gabapentinoid prescription</w:t>
      </w:r>
    </w:p>
    <w:p w:rsidR="00975433" w:rsidRDefault="00975433" w:rsidP="00975433">
      <w:pPr>
        <w:pStyle w:val="Heading2"/>
      </w:pPr>
      <w:bookmarkStart w:id="8" w:name="_How_to_reduce"/>
      <w:bookmarkStart w:id="9" w:name="_Toc529864506"/>
      <w:bookmarkEnd w:id="8"/>
      <w:r>
        <w:t>How to reduce a patient’s dosage</w:t>
      </w:r>
      <w:bookmarkEnd w:id="9"/>
    </w:p>
    <w:p w:rsidR="00975433" w:rsidRDefault="00975433" w:rsidP="000A213E">
      <w:r>
        <w:t>Both gabapentin and pregabalin doses should normally be gradually reduced to minimise symptoms of withdrawal and allow assessment of response. The following principles may be useful:</w:t>
      </w:r>
    </w:p>
    <w:p w:rsidR="00D31AA2" w:rsidRDefault="00D31AA2" w:rsidP="00D31AA2">
      <w:pPr>
        <w:pStyle w:val="ListParagraph"/>
        <w:numPr>
          <w:ilvl w:val="0"/>
          <w:numId w:val="4"/>
        </w:numPr>
      </w:pPr>
      <w:r>
        <w:t>A trial of dose reduction/cessation should be undertaken, following a period of stability</w:t>
      </w:r>
    </w:p>
    <w:p w:rsidR="00D31AA2" w:rsidRDefault="00D31AA2" w:rsidP="00D31AA2">
      <w:pPr>
        <w:pStyle w:val="ListParagraph"/>
        <w:numPr>
          <w:ilvl w:val="0"/>
          <w:numId w:val="4"/>
        </w:numPr>
      </w:pPr>
      <w:r>
        <w:t>A suggested reduction regime</w:t>
      </w:r>
      <w:r w:rsidR="00340F53">
        <w:t xml:space="preserve"> for analgesic use</w:t>
      </w:r>
      <w:r>
        <w:t xml:space="preserve"> would be: </w:t>
      </w:r>
    </w:p>
    <w:p w:rsidR="00D31AA2" w:rsidRDefault="00D31AA2" w:rsidP="00D31AA2">
      <w:pPr>
        <w:pStyle w:val="ListParagraph"/>
        <w:numPr>
          <w:ilvl w:val="0"/>
          <w:numId w:val="5"/>
        </w:numPr>
      </w:pPr>
      <w:r>
        <w:t xml:space="preserve">Gabapentin – reduce at maximum daily rate of 300mg every </w:t>
      </w:r>
      <w:r w:rsidR="00610FE4">
        <w:t>week</w:t>
      </w:r>
      <w:r>
        <w:t xml:space="preserve"> </w:t>
      </w:r>
    </w:p>
    <w:p w:rsidR="00D31AA2" w:rsidRDefault="00D31AA2" w:rsidP="00D31AA2">
      <w:pPr>
        <w:pStyle w:val="ListParagraph"/>
        <w:numPr>
          <w:ilvl w:val="0"/>
          <w:numId w:val="5"/>
        </w:numPr>
      </w:pPr>
      <w:r>
        <w:t xml:space="preserve">Pregabalin  - reduce at maximum daily rate of 50-100mg every week </w:t>
      </w:r>
    </w:p>
    <w:p w:rsidR="00674ACB" w:rsidRDefault="00674ACB" w:rsidP="00D31AA2">
      <w:pPr>
        <w:pStyle w:val="ListParagraph"/>
        <w:numPr>
          <w:ilvl w:val="0"/>
          <w:numId w:val="5"/>
        </w:numPr>
      </w:pPr>
      <w:r>
        <w:t xml:space="preserve">A full suggested reduction regime is available in </w:t>
      </w:r>
      <w:hyperlink w:anchor="_Appendix_6_–" w:history="1">
        <w:r w:rsidR="00940A6E">
          <w:rPr>
            <w:rStyle w:val="Hyperlink"/>
          </w:rPr>
          <w:t>appendix 4</w:t>
        </w:r>
      </w:hyperlink>
    </w:p>
    <w:p w:rsidR="00975433" w:rsidRDefault="00141D8A" w:rsidP="000A213E">
      <w:pPr>
        <w:pStyle w:val="ListParagraph"/>
        <w:numPr>
          <w:ilvl w:val="0"/>
          <w:numId w:val="4"/>
        </w:numPr>
      </w:pPr>
      <w:r>
        <w:t>In high risk patients, temporarily halt reduction, in preference to re-escalating the dose when required</w:t>
      </w:r>
    </w:p>
    <w:p w:rsidR="00141D8A" w:rsidRDefault="00141D8A" w:rsidP="00D31AA2">
      <w:pPr>
        <w:pStyle w:val="ListParagraph"/>
        <w:numPr>
          <w:ilvl w:val="0"/>
          <w:numId w:val="4"/>
        </w:numPr>
      </w:pPr>
      <w:r>
        <w:t xml:space="preserve">Rapid reduction to stop is justified if there is clear evidence of attempts to divert or obtain illicit supplies of gabapentin or pregabalin </w:t>
      </w:r>
    </w:p>
    <w:p w:rsidR="00710105" w:rsidRDefault="000A213E" w:rsidP="000A213E">
      <w:r>
        <w:t>In practice, reduction regime may be adjusted depending on individual response and degree of associated risk.</w:t>
      </w:r>
      <w:r w:rsidR="00710105">
        <w:t xml:space="preserve"> </w:t>
      </w:r>
    </w:p>
    <w:p w:rsidR="00423288" w:rsidRPr="00423288" w:rsidRDefault="00423288" w:rsidP="000A213E">
      <w:r>
        <w:t>A sample information leaflet, developed originally by NHS Fife, is</w:t>
      </w:r>
      <w:r w:rsidR="00C227D9">
        <w:t xml:space="preserve"> available</w:t>
      </w:r>
      <w:r>
        <w:t xml:space="preserve"> </w:t>
      </w:r>
      <w:hyperlink r:id="rId22" w:history="1">
        <w:r w:rsidR="00C227D9">
          <w:rPr>
            <w:rStyle w:val="Hyperlink"/>
          </w:rPr>
          <w:t>here</w:t>
        </w:r>
      </w:hyperlink>
      <w:sdt>
        <w:sdtPr>
          <w:rPr>
            <w:rStyle w:val="Hyperlink"/>
          </w:rPr>
          <w:id w:val="-680894744"/>
          <w:citation/>
        </w:sdtPr>
        <w:sdtEndPr>
          <w:rPr>
            <w:rStyle w:val="Hyperlink"/>
          </w:rPr>
        </w:sdtEndPr>
        <w:sdtContent>
          <w:r w:rsidR="00B3152F">
            <w:rPr>
              <w:rStyle w:val="Hyperlink"/>
            </w:rPr>
            <w:fldChar w:fldCharType="begin"/>
          </w:r>
          <w:r w:rsidR="00C227D9">
            <w:rPr>
              <w:rStyle w:val="Hyperlink"/>
            </w:rPr>
            <w:instrText xml:space="preserve"> CITATION NHS16 \l 2057 </w:instrText>
          </w:r>
          <w:r w:rsidR="00B3152F">
            <w:rPr>
              <w:rStyle w:val="Hyperlink"/>
            </w:rPr>
            <w:fldChar w:fldCharType="separate"/>
          </w:r>
          <w:r w:rsidR="000A69B9">
            <w:rPr>
              <w:rStyle w:val="Hyperlink"/>
              <w:noProof/>
            </w:rPr>
            <w:t xml:space="preserve"> </w:t>
          </w:r>
          <w:r w:rsidR="000A69B9" w:rsidRPr="00860D03">
            <w:rPr>
              <w:noProof/>
              <w:shd w:val="clear" w:color="auto" w:fill="BFBFBF" w:themeFill="background1" w:themeFillShade="BF"/>
            </w:rPr>
            <w:t>[16]</w:t>
          </w:r>
          <w:r w:rsidR="00B3152F">
            <w:rPr>
              <w:rStyle w:val="Hyperlink"/>
            </w:rPr>
            <w:fldChar w:fldCharType="end"/>
          </w:r>
        </w:sdtContent>
      </w:sdt>
      <w:r>
        <w:t xml:space="preserve">. </w:t>
      </w:r>
    </w:p>
    <w:p w:rsidR="004B02D3" w:rsidRDefault="004B02D3" w:rsidP="004B02D3">
      <w:pPr>
        <w:pStyle w:val="Heading2"/>
      </w:pPr>
      <w:bookmarkStart w:id="10" w:name="_Toc529864507"/>
      <w:r>
        <w:t>Drug related deaths</w:t>
      </w:r>
      <w:bookmarkEnd w:id="10"/>
    </w:p>
    <w:p w:rsidR="002475A5" w:rsidRDefault="002475A5" w:rsidP="002475A5">
      <w:pPr>
        <w:rPr>
          <w:iCs/>
          <w:color w:val="000000" w:themeColor="text1"/>
        </w:rPr>
      </w:pPr>
    </w:p>
    <w:p w:rsidR="002475A5" w:rsidRPr="002475A5" w:rsidRDefault="002475A5" w:rsidP="002475A5">
      <w:pPr>
        <w:rPr>
          <w:iCs/>
          <w:color w:val="000000" w:themeColor="text1"/>
        </w:rPr>
      </w:pPr>
      <w:r w:rsidRPr="002475A5">
        <w:rPr>
          <w:iCs/>
          <w:color w:val="000000" w:themeColor="text1"/>
        </w:rPr>
        <w:t>In 2008, National Records for Scotland reported two drug related deaths where gabapentin was implicated in, or partially contributed, to death (pregabalin was not considered to have been implicated in any drug related deaths in 2008). However, b</w:t>
      </w:r>
      <w:bookmarkStart w:id="11" w:name="_GoBack"/>
      <w:bookmarkEnd w:id="11"/>
      <w:r w:rsidRPr="002475A5">
        <w:rPr>
          <w:iCs/>
          <w:color w:val="000000" w:themeColor="text1"/>
        </w:rPr>
        <w:t>y 2017, the number of deaths in which gabapentinoids were implicated in (or partially contributed to) had increased to 242</w:t>
      </w:r>
      <w:r w:rsidR="00657265" w:rsidRPr="00657265">
        <w:rPr>
          <w:rStyle w:val="FootnoteReference"/>
          <w:color w:val="000000" w:themeColor="text1"/>
        </w:rPr>
        <w:footnoteReference w:id="2"/>
      </w:r>
      <w:r w:rsidRPr="002475A5">
        <w:rPr>
          <w:iCs/>
          <w:color w:val="000000" w:themeColor="text1"/>
        </w:rPr>
        <w:t xml:space="preserve"> (122 gabapentin only; 100 pregabalin only and 20 gabapentin and pregabalin). While this is a significant increase in numbers, it should be noted that the total volume of prescribing of gabapentinoids across Scotland has also increased.</w:t>
      </w:r>
      <w:r w:rsidRPr="002475A5">
        <w:rPr>
          <w:rStyle w:val="FootnoteReference"/>
          <w:i/>
          <w:color w:val="000000" w:themeColor="text1"/>
        </w:rPr>
        <w:t xml:space="preserve"> </w:t>
      </w:r>
    </w:p>
    <w:p w:rsidR="004B02D3" w:rsidRPr="005443D5" w:rsidRDefault="004B02D3" w:rsidP="004B02D3">
      <w:pPr>
        <w:rPr>
          <w:i/>
        </w:rPr>
      </w:pPr>
      <w:r>
        <w:t>Public Health England has provided information on the risks of gabapentinoids</w:t>
      </w:r>
      <w:sdt>
        <w:sdtPr>
          <w:id w:val="955912367"/>
          <w:citation/>
        </w:sdtPr>
        <w:sdtEndPr/>
        <w:sdtContent>
          <w:r w:rsidR="00B3152F">
            <w:fldChar w:fldCharType="begin"/>
          </w:r>
          <w:r w:rsidR="000B06C4">
            <w:instrText xml:space="preserve"> CITATION NHS14 \l 2057 </w:instrText>
          </w:r>
          <w:r w:rsidR="00B3152F">
            <w:fldChar w:fldCharType="separate"/>
          </w:r>
          <w:r w:rsidR="000A69B9">
            <w:rPr>
              <w:noProof/>
            </w:rPr>
            <w:t xml:space="preserve"> </w:t>
          </w:r>
          <w:r w:rsidR="000A69B9" w:rsidRPr="00860D03">
            <w:rPr>
              <w:noProof/>
              <w:shd w:val="clear" w:color="auto" w:fill="BFBFBF" w:themeFill="background1" w:themeFillShade="BF"/>
            </w:rPr>
            <w:t>[9]</w:t>
          </w:r>
          <w:r w:rsidR="00B3152F">
            <w:fldChar w:fldCharType="end"/>
          </w:r>
        </w:sdtContent>
      </w:sdt>
      <w:r>
        <w:t xml:space="preserve">. </w:t>
      </w:r>
      <w:r w:rsidRPr="005443D5">
        <w:rPr>
          <w:i/>
        </w:rPr>
        <w:t>Professionals prescribing pregabalin and gabapentin should be aware not only of the potential benefits of these drugs to patients, but also that the drugs can lead to dependence</w:t>
      </w:r>
      <w:r w:rsidR="00854ACC">
        <w:rPr>
          <w:rStyle w:val="FootnoteReference"/>
          <w:i/>
        </w:rPr>
        <w:footnoteReference w:id="3"/>
      </w:r>
      <w:r w:rsidRPr="005443D5">
        <w:rPr>
          <w:i/>
        </w:rPr>
        <w:t xml:space="preserve"> and may be misused or diverted.</w:t>
      </w:r>
    </w:p>
    <w:p w:rsidR="004B02D3" w:rsidRPr="005443D5" w:rsidRDefault="004B02D3" w:rsidP="004B02D3">
      <w:pPr>
        <w:rPr>
          <w:i/>
        </w:rPr>
      </w:pPr>
      <w:r w:rsidRPr="005443D5">
        <w:rPr>
          <w:i/>
        </w:rPr>
        <w:t>Gabapentin and pregabalin are associated with significant euphoric effects. Individuals misusing gabapentin and pregabalin variably describe improved sociability, euphoria, relaxation and a sense of calm. Gabapentin and pregabalin have the propensity to cause depression of the central nervous system, resulting in drowsiness, sedation, respiratory depression and at the extreme, death.</w:t>
      </w:r>
    </w:p>
    <w:p w:rsidR="00B05B87" w:rsidRPr="005443D5" w:rsidRDefault="00B05B87" w:rsidP="00B05B87">
      <w:pPr>
        <w:rPr>
          <w:i/>
        </w:rPr>
      </w:pPr>
      <w:r w:rsidRPr="005443D5">
        <w:rPr>
          <w:i/>
        </w:rPr>
        <w:lastRenderedPageBreak/>
        <w:t xml:space="preserve">The pharmacokinetic properties of pregabalin make the drug relatively more dangerous than gabapentin in high doses. Pregabalin misusers are achieving </w:t>
      </w:r>
      <w:r>
        <w:rPr>
          <w:i/>
        </w:rPr>
        <w:t>the</w:t>
      </w:r>
      <w:r w:rsidRPr="005443D5">
        <w:rPr>
          <w:i/>
        </w:rPr>
        <w:t xml:space="preserve"> effects </w:t>
      </w:r>
      <w:r>
        <w:rPr>
          <w:i/>
        </w:rPr>
        <w:t xml:space="preserve">above </w:t>
      </w:r>
      <w:r w:rsidRPr="005443D5">
        <w:rPr>
          <w:i/>
        </w:rPr>
        <w:t xml:space="preserve">by taking large quantities, ranging from 200mg to 5g as a single dose. </w:t>
      </w:r>
    </w:p>
    <w:p w:rsidR="004B02D3" w:rsidRPr="005443D5" w:rsidRDefault="004B02D3" w:rsidP="004B02D3">
      <w:pPr>
        <w:rPr>
          <w:i/>
        </w:rPr>
      </w:pPr>
      <w:r w:rsidRPr="005443D5">
        <w:rPr>
          <w:i/>
        </w:rPr>
        <w:t>Both gabapentin and pregabalin have adverse effects on the central nervous system, which are additive when used with other centrally acting drugs, particularly opioids.</w:t>
      </w:r>
    </w:p>
    <w:p w:rsidR="00233D4B" w:rsidRDefault="004B02D3">
      <w:pPr>
        <w:rPr>
          <w:rFonts w:asciiTheme="majorHAnsi" w:eastAsiaTheme="majorEastAsia" w:hAnsiTheme="majorHAnsi" w:cstheme="majorBidi"/>
          <w:b/>
          <w:bCs/>
          <w:color w:val="4F81BD" w:themeColor="accent1"/>
          <w:sz w:val="26"/>
          <w:szCs w:val="26"/>
        </w:rPr>
      </w:pPr>
      <w:r w:rsidRPr="005443D5">
        <w:rPr>
          <w:i/>
        </w:rPr>
        <w:t>Currently, pregabalin appears to be more sought after for misuse than gabapentin.</w:t>
      </w:r>
    </w:p>
    <w:p w:rsidR="000A213E" w:rsidRDefault="000A213E" w:rsidP="004B02D3">
      <w:pPr>
        <w:pStyle w:val="Heading2"/>
      </w:pPr>
      <w:bookmarkStart w:id="12" w:name="_Toc529864508"/>
      <w:r>
        <w:t>Summary</w:t>
      </w:r>
      <w:bookmarkEnd w:id="12"/>
    </w:p>
    <w:p w:rsidR="000A213E" w:rsidRDefault="004D076F">
      <w:r w:rsidRPr="004D076F">
        <w:t xml:space="preserve">Gabapentin and pregabalin should be prescribed appropriately in the management of neuropathic pain, </w:t>
      </w:r>
      <w:r w:rsidR="00C10824">
        <w:t>while taking appropriate steps to minimise</w:t>
      </w:r>
      <w:r w:rsidRPr="004D076F">
        <w:t xml:space="preserve"> the risk of misuse and diversion. Caution, with due consideration of first line options, and special care exercised in the substance misusing population is required to help minimise the risk of misuse and diversion</w:t>
      </w:r>
      <w:r w:rsidR="00C10824">
        <w:t xml:space="preserve">. Early and ongoing review is essential for all patients prescribed gabapentinoids. </w:t>
      </w:r>
      <w:r w:rsidR="00B402DA">
        <w:t xml:space="preserve">Extreme care should be taken when co-prescribing gabapentinoids and opioids. </w:t>
      </w:r>
      <w:r w:rsidR="000A213E">
        <w:br w:type="page"/>
      </w:r>
    </w:p>
    <w:p w:rsidR="004D076F" w:rsidRDefault="004D076F" w:rsidP="000A213E">
      <w:pPr>
        <w:pStyle w:val="Heading1"/>
      </w:pPr>
      <w:bookmarkStart w:id="13" w:name="_Toc529864509"/>
      <w:r>
        <w:lastRenderedPageBreak/>
        <w:t>Appendices</w:t>
      </w:r>
      <w:bookmarkEnd w:id="13"/>
    </w:p>
    <w:p w:rsidR="000A213E" w:rsidRDefault="000A213E" w:rsidP="004D076F">
      <w:pPr>
        <w:pStyle w:val="Heading2"/>
      </w:pPr>
      <w:bookmarkStart w:id="14" w:name="_Toc529864510"/>
      <w:r>
        <w:t>Appendix 1 – Local Contact Details</w:t>
      </w:r>
      <w:bookmarkEnd w:id="14"/>
    </w:p>
    <w:p w:rsidR="000A213E" w:rsidRDefault="000A213E" w:rsidP="000A213E"/>
    <w:tbl>
      <w:tblPr>
        <w:tblStyle w:val="TableGrid"/>
        <w:tblW w:w="0" w:type="auto"/>
        <w:tblLook w:val="04A0" w:firstRow="1" w:lastRow="0" w:firstColumn="1" w:lastColumn="0" w:noHBand="0" w:noVBand="1"/>
      </w:tblPr>
      <w:tblGrid>
        <w:gridCol w:w="8898"/>
      </w:tblGrid>
      <w:tr w:rsidR="000A213E" w:rsidTr="000A213E">
        <w:tc>
          <w:tcPr>
            <w:tcW w:w="9242" w:type="dxa"/>
          </w:tcPr>
          <w:p w:rsidR="000A213E" w:rsidRDefault="000A213E" w:rsidP="000A213E">
            <w:r>
              <w:t xml:space="preserve">Boards </w:t>
            </w:r>
            <w:r w:rsidR="00C83145">
              <w:t xml:space="preserve">may already have health improvement and support directories available; however those without this facility may wish to use this </w:t>
            </w:r>
            <w:r>
              <w:t>space to provide</w:t>
            </w:r>
            <w:r w:rsidR="00C83145">
              <w:t xml:space="preserve"> up to date</w:t>
            </w:r>
            <w:r>
              <w:t xml:space="preserve"> contact details of relevant local services. Examples include: </w:t>
            </w:r>
          </w:p>
          <w:p w:rsidR="000A213E" w:rsidRDefault="000A213E" w:rsidP="000A213E"/>
          <w:p w:rsidR="000A213E" w:rsidRDefault="000A213E" w:rsidP="000A213E">
            <w:pPr>
              <w:pStyle w:val="ListParagraph"/>
              <w:numPr>
                <w:ilvl w:val="0"/>
                <w:numId w:val="6"/>
              </w:numPr>
            </w:pPr>
            <w:r>
              <w:t>Specialist secondary care clinic(s)</w:t>
            </w:r>
          </w:p>
          <w:p w:rsidR="000A213E" w:rsidRDefault="000A213E" w:rsidP="000A213E">
            <w:pPr>
              <w:pStyle w:val="ListParagraph"/>
              <w:numPr>
                <w:ilvl w:val="0"/>
                <w:numId w:val="6"/>
              </w:numPr>
            </w:pPr>
            <w:r>
              <w:t>Community drug and alcohol services</w:t>
            </w:r>
          </w:p>
          <w:p w:rsidR="000A213E" w:rsidRDefault="000A213E" w:rsidP="000A213E">
            <w:pPr>
              <w:pStyle w:val="ListParagraph"/>
              <w:numPr>
                <w:ilvl w:val="0"/>
                <w:numId w:val="6"/>
              </w:numPr>
            </w:pPr>
            <w:r>
              <w:t>Mental health support</w:t>
            </w:r>
          </w:p>
          <w:p w:rsidR="000A213E" w:rsidRDefault="000A213E" w:rsidP="000A213E">
            <w:pPr>
              <w:pStyle w:val="ListParagraph"/>
              <w:numPr>
                <w:ilvl w:val="0"/>
                <w:numId w:val="6"/>
              </w:numPr>
            </w:pPr>
            <w:r>
              <w:t xml:space="preserve">Addiction support </w:t>
            </w:r>
          </w:p>
          <w:p w:rsidR="000A213E" w:rsidRDefault="000A213E" w:rsidP="000A213E">
            <w:pPr>
              <w:pStyle w:val="ListParagraph"/>
              <w:numPr>
                <w:ilvl w:val="0"/>
                <w:numId w:val="6"/>
              </w:numPr>
            </w:pPr>
            <w:r>
              <w:t>Counselling</w:t>
            </w:r>
          </w:p>
          <w:p w:rsidR="000A213E" w:rsidRDefault="000A213E" w:rsidP="000A213E"/>
          <w:p w:rsidR="000A213E" w:rsidRDefault="000A213E" w:rsidP="000A213E">
            <w:r>
              <w:t xml:space="preserve">It is suggested that the following information be included for these services: </w:t>
            </w:r>
          </w:p>
          <w:p w:rsidR="000A213E" w:rsidRDefault="000A213E" w:rsidP="000A213E"/>
          <w:p w:rsidR="000A213E" w:rsidRDefault="000A213E" w:rsidP="000A213E">
            <w:pPr>
              <w:pStyle w:val="ListParagraph"/>
              <w:numPr>
                <w:ilvl w:val="0"/>
                <w:numId w:val="7"/>
              </w:numPr>
            </w:pPr>
            <w:r>
              <w:t>Opening hours</w:t>
            </w:r>
          </w:p>
          <w:p w:rsidR="000A213E" w:rsidRDefault="000A213E" w:rsidP="000A213E">
            <w:pPr>
              <w:pStyle w:val="ListParagraph"/>
              <w:numPr>
                <w:ilvl w:val="0"/>
                <w:numId w:val="7"/>
              </w:numPr>
            </w:pPr>
            <w:r>
              <w:t>Contact details (phone, email)</w:t>
            </w:r>
          </w:p>
          <w:p w:rsidR="000A213E" w:rsidRDefault="000A213E" w:rsidP="000A213E">
            <w:pPr>
              <w:pStyle w:val="ListParagraph"/>
              <w:numPr>
                <w:ilvl w:val="0"/>
                <w:numId w:val="7"/>
              </w:numPr>
            </w:pPr>
            <w:r>
              <w:t>Address of any in-person service</w:t>
            </w:r>
          </w:p>
          <w:p w:rsidR="000A213E" w:rsidRDefault="000A213E" w:rsidP="000A213E">
            <w:pPr>
              <w:pStyle w:val="ListParagraph"/>
              <w:numPr>
                <w:ilvl w:val="0"/>
                <w:numId w:val="7"/>
              </w:numPr>
            </w:pPr>
            <w:r>
              <w:t>Aim of service</w:t>
            </w:r>
          </w:p>
          <w:p w:rsidR="000A213E" w:rsidRDefault="000A213E" w:rsidP="000A213E"/>
          <w:p w:rsidR="00C83145" w:rsidRDefault="00C83145" w:rsidP="000A213E"/>
        </w:tc>
      </w:tr>
    </w:tbl>
    <w:p w:rsidR="000A213E" w:rsidRDefault="000A213E" w:rsidP="000A213E"/>
    <w:p w:rsidR="000A213E" w:rsidRDefault="000A213E" w:rsidP="004D076F">
      <w:pPr>
        <w:pStyle w:val="Heading2"/>
      </w:pPr>
      <w:bookmarkStart w:id="15" w:name="_Toc529864511"/>
      <w:r>
        <w:t>Appendix 2</w:t>
      </w:r>
      <w:r w:rsidR="00D06848">
        <w:t xml:space="preserve"> – </w:t>
      </w:r>
      <w:r w:rsidR="00DF7B30">
        <w:t>Treatment pathway for chronic pain</w:t>
      </w:r>
      <w:bookmarkEnd w:id="15"/>
    </w:p>
    <w:p w:rsidR="000A213E" w:rsidRDefault="00DF7B30" w:rsidP="000A213E">
      <w:r>
        <w:t>Boards may wish to include</w:t>
      </w:r>
      <w:r w:rsidR="00C83145">
        <w:t xml:space="preserve"> a link to</w:t>
      </w:r>
      <w:r>
        <w:t xml:space="preserve"> their local treatment pathway at this point</w:t>
      </w:r>
      <w:r w:rsidR="00F143B5">
        <w:t xml:space="preserve"> or the neuropathic pain pathway algorithm contained</w:t>
      </w:r>
      <w:r>
        <w:t xml:space="preserve"> within </w:t>
      </w:r>
      <w:hyperlink r:id="rId23" w:history="1">
        <w:r w:rsidRPr="00A07DA9">
          <w:rPr>
            <w:rStyle w:val="Hyperlink"/>
          </w:rPr>
          <w:t>SIGN 136</w:t>
        </w:r>
      </w:hyperlink>
      <w:sdt>
        <w:sdtPr>
          <w:rPr>
            <w:rStyle w:val="Hyperlink"/>
          </w:rPr>
          <w:id w:val="-1331058910"/>
          <w:citation/>
        </w:sdtPr>
        <w:sdtEndPr>
          <w:rPr>
            <w:rStyle w:val="Hyperlink"/>
          </w:rPr>
        </w:sdtEndPr>
        <w:sdtContent>
          <w:r w:rsidR="00B3152F">
            <w:rPr>
              <w:rStyle w:val="Hyperlink"/>
            </w:rPr>
            <w:fldChar w:fldCharType="begin"/>
          </w:r>
          <w:r w:rsidR="000B06C4">
            <w:rPr>
              <w:rStyle w:val="Hyperlink"/>
            </w:rPr>
            <w:instrText xml:space="preserve"> CITATION Sco13 \l 2057 </w:instrText>
          </w:r>
          <w:r w:rsidR="00B3152F">
            <w:rPr>
              <w:rStyle w:val="Hyperlink"/>
            </w:rPr>
            <w:fldChar w:fldCharType="separate"/>
          </w:r>
          <w:r w:rsidR="000A69B9">
            <w:rPr>
              <w:rStyle w:val="Hyperlink"/>
              <w:noProof/>
            </w:rPr>
            <w:t xml:space="preserve"> </w:t>
          </w:r>
          <w:r w:rsidR="000A69B9" w:rsidRPr="00860D03">
            <w:rPr>
              <w:noProof/>
              <w:shd w:val="clear" w:color="auto" w:fill="BFBFBF" w:themeFill="background1" w:themeFillShade="BF"/>
            </w:rPr>
            <w:t>[3]</w:t>
          </w:r>
          <w:r w:rsidR="00B3152F">
            <w:rPr>
              <w:rStyle w:val="Hyperlink"/>
            </w:rPr>
            <w:fldChar w:fldCharType="end"/>
          </w:r>
        </w:sdtContent>
      </w:sdt>
      <w:r>
        <w:t xml:space="preserve">. </w:t>
      </w:r>
    </w:p>
    <w:p w:rsidR="000A213E" w:rsidRDefault="000A213E">
      <w:r>
        <w:br w:type="page"/>
      </w:r>
    </w:p>
    <w:p w:rsidR="00D35E3A" w:rsidRDefault="00D35E3A" w:rsidP="004D076F">
      <w:pPr>
        <w:pStyle w:val="Heading2"/>
      </w:pPr>
      <w:bookmarkStart w:id="16" w:name="_Appendix_3_–"/>
      <w:bookmarkStart w:id="17" w:name="_Toc529864512"/>
      <w:bookmarkEnd w:id="16"/>
      <w:r>
        <w:lastRenderedPageBreak/>
        <w:t xml:space="preserve">Appendix </w:t>
      </w:r>
      <w:r w:rsidR="002E540C">
        <w:t>3</w:t>
      </w:r>
      <w:r>
        <w:t xml:space="preserve"> – Pain Management Prescribing Agreement</w:t>
      </w:r>
      <w:bookmarkEnd w:id="17"/>
    </w:p>
    <w:p w:rsidR="008D070B" w:rsidRPr="00C10824" w:rsidRDefault="008D070B" w:rsidP="00D35E3A">
      <w:r w:rsidRPr="00C10824">
        <w:t>The below Pain Management Prescribing Agreement may be useful in some cases</w:t>
      </w:r>
      <w:r w:rsidR="00D3325C">
        <w:t xml:space="preserve"> (for instance with high risk patients)</w:t>
      </w:r>
      <w:r w:rsidRPr="00C10824">
        <w:t xml:space="preserve">, to ensure and document the patient’s understanding of their treatment. </w:t>
      </w:r>
      <w:r w:rsidRPr="00774826">
        <w:rPr>
          <w:b/>
        </w:rPr>
        <w:t>It is not recommended for all patients</w:t>
      </w:r>
      <w:r w:rsidRPr="00C10824">
        <w:t xml:space="preserve"> and clinical </w:t>
      </w:r>
      <w:r w:rsidR="001859FD">
        <w:t>judgement</w:t>
      </w:r>
      <w:r w:rsidRPr="00C10824">
        <w:t xml:space="preserve"> is required. Boards, clusters or practices may wish to tailor it to their needs. </w:t>
      </w:r>
    </w:p>
    <w:p w:rsidR="00D35E3A" w:rsidRPr="00D35E3A" w:rsidRDefault="00D35E3A" w:rsidP="00E57D5C">
      <w:pPr>
        <w:pBdr>
          <w:top w:val="single" w:sz="4" w:space="1" w:color="auto"/>
          <w:left w:val="single" w:sz="4" w:space="4" w:color="auto"/>
          <w:bottom w:val="single" w:sz="4" w:space="1" w:color="auto"/>
          <w:right w:val="single" w:sz="4" w:space="4" w:color="auto"/>
        </w:pBdr>
        <w:rPr>
          <w:u w:val="single"/>
        </w:rPr>
      </w:pPr>
      <w:r w:rsidRPr="00D35E3A">
        <w:rPr>
          <w:u w:val="single"/>
        </w:rPr>
        <w:t xml:space="preserve">Pain Management Prescribing Agreement </w:t>
      </w:r>
    </w:p>
    <w:p w:rsidR="00D35E3A" w:rsidRDefault="00D35E3A" w:rsidP="00E57D5C">
      <w:pPr>
        <w:pBdr>
          <w:top w:val="single" w:sz="4" w:space="1" w:color="auto"/>
          <w:left w:val="single" w:sz="4" w:space="4" w:color="auto"/>
          <w:bottom w:val="single" w:sz="4" w:space="1" w:color="auto"/>
          <w:right w:val="single" w:sz="4" w:space="4" w:color="auto"/>
        </w:pBdr>
      </w:pPr>
      <w:r>
        <w:t xml:space="preserve">Name ............................................................................................................................ </w:t>
      </w:r>
    </w:p>
    <w:p w:rsidR="00D35E3A" w:rsidRDefault="00D35E3A" w:rsidP="00E57D5C">
      <w:pPr>
        <w:pBdr>
          <w:top w:val="single" w:sz="4" w:space="1" w:color="auto"/>
          <w:left w:val="single" w:sz="4" w:space="4" w:color="auto"/>
          <w:bottom w:val="single" w:sz="4" w:space="1" w:color="auto"/>
          <w:right w:val="single" w:sz="4" w:space="4" w:color="auto"/>
        </w:pBdr>
      </w:pPr>
      <w:r>
        <w:t xml:space="preserve">Date of birth....................................................... </w:t>
      </w:r>
    </w:p>
    <w:p w:rsidR="00D35E3A" w:rsidRDefault="00D35E3A" w:rsidP="00E57D5C">
      <w:pPr>
        <w:pBdr>
          <w:top w:val="single" w:sz="4" w:space="1" w:color="auto"/>
          <w:left w:val="single" w:sz="4" w:space="4" w:color="auto"/>
          <w:bottom w:val="single" w:sz="4" w:space="1" w:color="auto"/>
          <w:right w:val="single" w:sz="4" w:space="4" w:color="auto"/>
        </w:pBdr>
      </w:pPr>
      <w:r>
        <w:t>As part of my treatment plan which includes prescribing pain relief medicines I agree to the following conditions:</w:t>
      </w:r>
    </w:p>
    <w:p w:rsidR="00D35E3A" w:rsidRDefault="00D35E3A" w:rsidP="007605F3">
      <w:pPr>
        <w:pStyle w:val="ListParagraph"/>
        <w:numPr>
          <w:ilvl w:val="0"/>
          <w:numId w:val="11"/>
        </w:numPr>
        <w:pBdr>
          <w:top w:val="single" w:sz="4" w:space="1" w:color="auto"/>
          <w:left w:val="single" w:sz="4" w:space="4" w:color="auto"/>
          <w:bottom w:val="single" w:sz="4" w:space="1" w:color="auto"/>
          <w:right w:val="single" w:sz="4" w:space="4" w:color="auto"/>
        </w:pBdr>
      </w:pPr>
      <w:r>
        <w:t>I am currently taking ________mg of ________________________daily</w:t>
      </w:r>
      <w:r w:rsidR="007605F3">
        <w:br/>
      </w:r>
      <w:r>
        <w:t xml:space="preserve"> </w:t>
      </w:r>
    </w:p>
    <w:p w:rsidR="00D35E3A" w:rsidRDefault="00D35E3A" w:rsidP="007605F3">
      <w:pPr>
        <w:pStyle w:val="ListParagraph"/>
        <w:numPr>
          <w:ilvl w:val="0"/>
          <w:numId w:val="11"/>
        </w:numPr>
        <w:pBdr>
          <w:top w:val="single" w:sz="4" w:space="1" w:color="auto"/>
          <w:left w:val="single" w:sz="4" w:space="4" w:color="auto"/>
          <w:bottom w:val="single" w:sz="4" w:space="1" w:color="auto"/>
          <w:right w:val="single" w:sz="4" w:space="4" w:color="auto"/>
        </w:pBdr>
      </w:pPr>
      <w:r>
        <w:t>I agree to fully participate in the pain management plan as outlined in my medical record. As part of this plan I will be referred to other specialist and agree to engage fully in al</w:t>
      </w:r>
      <w:r w:rsidR="007605F3">
        <w:t xml:space="preserve">l </w:t>
      </w:r>
      <w:r>
        <w:t xml:space="preserve">treatments offered. </w:t>
      </w:r>
      <w:r w:rsidR="007605F3">
        <w:br/>
      </w:r>
    </w:p>
    <w:p w:rsidR="00D35E3A" w:rsidRDefault="00D35E3A" w:rsidP="007605F3">
      <w:pPr>
        <w:pStyle w:val="ListParagraph"/>
        <w:numPr>
          <w:ilvl w:val="0"/>
          <w:numId w:val="11"/>
        </w:numPr>
        <w:pBdr>
          <w:top w:val="single" w:sz="4" w:space="1" w:color="auto"/>
          <w:left w:val="single" w:sz="4" w:space="4" w:color="auto"/>
          <w:bottom w:val="single" w:sz="4" w:space="1" w:color="auto"/>
          <w:right w:val="single" w:sz="4" w:space="4" w:color="auto"/>
        </w:pBdr>
      </w:pPr>
      <w:r>
        <w:t xml:space="preserve">If I do not adhere to the agreed programme, I accept that my prescribed pain relief medicines will be reviewed and may be reduced. </w:t>
      </w:r>
      <w:r w:rsidR="007605F3">
        <w:br/>
      </w:r>
    </w:p>
    <w:p w:rsidR="00D35E3A" w:rsidRDefault="00D35E3A" w:rsidP="007605F3">
      <w:pPr>
        <w:pStyle w:val="ListParagraph"/>
        <w:numPr>
          <w:ilvl w:val="0"/>
          <w:numId w:val="11"/>
        </w:numPr>
        <w:pBdr>
          <w:top w:val="single" w:sz="4" w:space="1" w:color="auto"/>
          <w:left w:val="single" w:sz="4" w:space="4" w:color="auto"/>
          <w:bottom w:val="single" w:sz="4" w:space="1" w:color="auto"/>
          <w:right w:val="single" w:sz="4" w:space="4" w:color="auto"/>
        </w:pBdr>
      </w:pPr>
      <w:r>
        <w:t xml:space="preserve">I acknowledge that I should not take any additional pain relief medicines unless under </w:t>
      </w:r>
      <w:r w:rsidR="007605F3">
        <w:t>the</w:t>
      </w:r>
      <w:r>
        <w:t xml:space="preserve"> advice</w:t>
      </w:r>
      <w:r w:rsidR="007605F3">
        <w:t xml:space="preserve"> of a clinician</w:t>
      </w:r>
      <w:r>
        <w:t xml:space="preserve">. </w:t>
      </w:r>
      <w:r w:rsidR="007605F3">
        <w:br/>
      </w:r>
    </w:p>
    <w:p w:rsidR="00D35E3A" w:rsidRDefault="00D35E3A" w:rsidP="007605F3">
      <w:pPr>
        <w:pStyle w:val="ListParagraph"/>
        <w:numPr>
          <w:ilvl w:val="0"/>
          <w:numId w:val="11"/>
        </w:numPr>
        <w:pBdr>
          <w:top w:val="single" w:sz="4" w:space="1" w:color="auto"/>
          <w:left w:val="single" w:sz="4" w:space="4" w:color="auto"/>
          <w:bottom w:val="single" w:sz="4" w:space="1" w:color="auto"/>
          <w:right w:val="single" w:sz="4" w:space="4" w:color="auto"/>
        </w:pBdr>
      </w:pPr>
      <w:r>
        <w:t xml:space="preserve">I agree not to sell or otherwise dispose of medication prescribed to me. </w:t>
      </w:r>
      <w:r w:rsidR="007605F3">
        <w:br/>
      </w:r>
    </w:p>
    <w:p w:rsidR="00D35E3A" w:rsidRDefault="00D35E3A" w:rsidP="007605F3">
      <w:pPr>
        <w:pStyle w:val="ListParagraph"/>
        <w:numPr>
          <w:ilvl w:val="0"/>
          <w:numId w:val="11"/>
        </w:numPr>
        <w:pBdr>
          <w:top w:val="single" w:sz="4" w:space="1" w:color="auto"/>
          <w:left w:val="single" w:sz="4" w:space="4" w:color="auto"/>
          <w:bottom w:val="single" w:sz="4" w:space="1" w:color="auto"/>
          <w:right w:val="single" w:sz="4" w:space="4" w:color="auto"/>
        </w:pBdr>
      </w:pPr>
      <w:r>
        <w:t xml:space="preserve">I agree to the medicines being dispensed daily </w:t>
      </w:r>
      <w:r w:rsidR="007071D3">
        <w:t xml:space="preserve">/ </w:t>
      </w:r>
      <w:r>
        <w:t>weekly</w:t>
      </w:r>
      <w:r w:rsidR="007071D3">
        <w:t xml:space="preserve"> [delete as appropriate]</w:t>
      </w:r>
      <w:r>
        <w:t xml:space="preserve">. </w:t>
      </w:r>
      <w:r w:rsidR="007605F3">
        <w:br/>
      </w:r>
    </w:p>
    <w:p w:rsidR="00D35E3A" w:rsidRDefault="00D35E3A" w:rsidP="007605F3">
      <w:pPr>
        <w:pStyle w:val="ListParagraph"/>
        <w:numPr>
          <w:ilvl w:val="0"/>
          <w:numId w:val="11"/>
        </w:numPr>
        <w:pBdr>
          <w:top w:val="single" w:sz="4" w:space="1" w:color="auto"/>
          <w:left w:val="single" w:sz="4" w:space="4" w:color="auto"/>
          <w:bottom w:val="single" w:sz="4" w:space="1" w:color="auto"/>
          <w:right w:val="single" w:sz="4" w:space="4" w:color="auto"/>
        </w:pBdr>
      </w:pPr>
      <w:r>
        <w:t xml:space="preserve">I understand that early requests for medicines will not be granted. </w:t>
      </w:r>
    </w:p>
    <w:p w:rsidR="00D35E3A" w:rsidRDefault="00D35E3A" w:rsidP="00E57D5C">
      <w:pPr>
        <w:pBdr>
          <w:top w:val="single" w:sz="4" w:space="1" w:color="auto"/>
          <w:left w:val="single" w:sz="4" w:space="4" w:color="auto"/>
          <w:bottom w:val="single" w:sz="4" w:space="1" w:color="auto"/>
          <w:right w:val="single" w:sz="4" w:space="4" w:color="auto"/>
        </w:pBdr>
      </w:pPr>
    </w:p>
    <w:p w:rsidR="00D35E3A" w:rsidRDefault="00D35E3A" w:rsidP="00E57D5C">
      <w:pPr>
        <w:pBdr>
          <w:top w:val="single" w:sz="4" w:space="1" w:color="auto"/>
          <w:left w:val="single" w:sz="4" w:space="4" w:color="auto"/>
          <w:bottom w:val="single" w:sz="4" w:space="1" w:color="auto"/>
          <w:right w:val="single" w:sz="4" w:space="4" w:color="auto"/>
        </w:pBdr>
      </w:pPr>
      <w:r>
        <w:t xml:space="preserve">Signed (patient) ...................................................................................................................  </w:t>
      </w:r>
      <w:r>
        <w:br/>
      </w:r>
      <w:r>
        <w:br/>
        <w:t xml:space="preserve">Signed (on behalf of service) ............................................................................................... </w:t>
      </w:r>
      <w:r>
        <w:br/>
      </w:r>
      <w:r>
        <w:br/>
        <w:t xml:space="preserve">Date............................................................................. </w:t>
      </w:r>
    </w:p>
    <w:p w:rsidR="00E57D5C" w:rsidRDefault="00E57D5C" w:rsidP="00E57D5C">
      <w:pPr>
        <w:rPr>
          <w:i/>
        </w:rPr>
      </w:pPr>
    </w:p>
    <w:p w:rsidR="00E57D5C" w:rsidRDefault="00E57D5C">
      <w:pPr>
        <w:rPr>
          <w:i/>
        </w:rPr>
      </w:pPr>
      <w:r>
        <w:rPr>
          <w:i/>
        </w:rPr>
        <w:br w:type="page"/>
      </w:r>
    </w:p>
    <w:p w:rsidR="00B60B0C" w:rsidRDefault="00B60B0C" w:rsidP="004D076F">
      <w:pPr>
        <w:pStyle w:val="Heading2"/>
      </w:pPr>
      <w:bookmarkStart w:id="18" w:name="_Appendix_6_–"/>
      <w:bookmarkStart w:id="19" w:name="_Appendix_4_–"/>
      <w:bookmarkStart w:id="20" w:name="_Toc529864513"/>
      <w:bookmarkEnd w:id="18"/>
      <w:bookmarkEnd w:id="19"/>
      <w:r>
        <w:lastRenderedPageBreak/>
        <w:t xml:space="preserve">Appendix </w:t>
      </w:r>
      <w:r w:rsidR="00DD3A3B">
        <w:t>4</w:t>
      </w:r>
      <w:r>
        <w:t xml:space="preserve"> – Suggested Reduction Regimen</w:t>
      </w:r>
      <w:bookmarkEnd w:id="20"/>
      <w:r>
        <w:t xml:space="preserve"> </w:t>
      </w:r>
    </w:p>
    <w:p w:rsidR="00D06848" w:rsidRDefault="00D06848" w:rsidP="00D06848">
      <w:pPr>
        <w:rPr>
          <w:b/>
        </w:rPr>
      </w:pPr>
    </w:p>
    <w:p w:rsidR="00D06848" w:rsidRDefault="003968F3" w:rsidP="00D06848">
      <w:pPr>
        <w:rPr>
          <w:b/>
        </w:rPr>
      </w:pPr>
      <w:r>
        <w:rPr>
          <w:b/>
        </w:rPr>
        <w:t>Gaba</w:t>
      </w:r>
      <w:r w:rsidR="00D06848">
        <w:rPr>
          <w:b/>
        </w:rPr>
        <w:t>pentin</w:t>
      </w:r>
    </w:p>
    <w:p w:rsidR="00D06848" w:rsidRPr="00D06848" w:rsidRDefault="00D06848" w:rsidP="00D06848">
      <w:r w:rsidRPr="00D06848">
        <w:t>Suggested gabapentin reduction regime from 1200mg TDS</w:t>
      </w:r>
    </w:p>
    <w:tbl>
      <w:tblPr>
        <w:tblStyle w:val="TableGrid"/>
        <w:tblW w:w="0" w:type="auto"/>
        <w:tblLook w:val="04A0" w:firstRow="1" w:lastRow="0" w:firstColumn="1" w:lastColumn="0" w:noHBand="0" w:noVBand="1"/>
      </w:tblPr>
      <w:tblGrid>
        <w:gridCol w:w="1373"/>
        <w:gridCol w:w="1898"/>
        <w:gridCol w:w="1911"/>
        <w:gridCol w:w="1763"/>
        <w:gridCol w:w="1953"/>
      </w:tblGrid>
      <w:tr w:rsidR="00B60B0C" w:rsidRPr="00D06848" w:rsidTr="00B60B0C">
        <w:tc>
          <w:tcPr>
            <w:tcW w:w="1384" w:type="dxa"/>
          </w:tcPr>
          <w:p w:rsidR="00B60B0C" w:rsidRPr="00D06848" w:rsidRDefault="00D06848" w:rsidP="00B60B0C">
            <w:pPr>
              <w:rPr>
                <w:rFonts w:cstheme="minorHAnsi"/>
              </w:rPr>
            </w:pPr>
            <w:r w:rsidRPr="00D06848">
              <w:rPr>
                <w:rFonts w:cstheme="minorHAnsi"/>
              </w:rPr>
              <w:t>Gabapentin</w:t>
            </w:r>
          </w:p>
        </w:tc>
        <w:tc>
          <w:tcPr>
            <w:tcW w:w="1985" w:type="dxa"/>
          </w:tcPr>
          <w:p w:rsidR="00B60B0C" w:rsidRPr="00D06848" w:rsidRDefault="00B60B0C" w:rsidP="00B60B0C">
            <w:pPr>
              <w:jc w:val="center"/>
              <w:rPr>
                <w:rFonts w:cstheme="minorHAnsi"/>
                <w:b/>
              </w:rPr>
            </w:pPr>
            <w:r w:rsidRPr="00D06848">
              <w:rPr>
                <w:rFonts w:cstheme="minorHAnsi"/>
                <w:b/>
              </w:rPr>
              <w:t>Morning</w:t>
            </w:r>
          </w:p>
        </w:tc>
        <w:tc>
          <w:tcPr>
            <w:tcW w:w="1984" w:type="dxa"/>
          </w:tcPr>
          <w:p w:rsidR="00B60B0C" w:rsidRPr="00D06848" w:rsidRDefault="00B60B0C" w:rsidP="00B60B0C">
            <w:pPr>
              <w:jc w:val="center"/>
              <w:rPr>
                <w:rFonts w:cstheme="minorHAnsi"/>
                <w:b/>
              </w:rPr>
            </w:pPr>
            <w:r w:rsidRPr="00D06848">
              <w:rPr>
                <w:rFonts w:cstheme="minorHAnsi"/>
                <w:b/>
              </w:rPr>
              <w:t>Afternoon</w:t>
            </w:r>
          </w:p>
        </w:tc>
        <w:tc>
          <w:tcPr>
            <w:tcW w:w="1843" w:type="dxa"/>
          </w:tcPr>
          <w:p w:rsidR="00B60B0C" w:rsidRPr="00D06848" w:rsidRDefault="00B60B0C" w:rsidP="00B60B0C">
            <w:pPr>
              <w:jc w:val="center"/>
              <w:rPr>
                <w:rFonts w:cstheme="minorHAnsi"/>
                <w:b/>
              </w:rPr>
            </w:pPr>
            <w:r w:rsidRPr="00D06848">
              <w:rPr>
                <w:rFonts w:cstheme="minorHAnsi"/>
                <w:b/>
              </w:rPr>
              <w:t>Night</w:t>
            </w:r>
          </w:p>
        </w:tc>
        <w:tc>
          <w:tcPr>
            <w:tcW w:w="2046" w:type="dxa"/>
          </w:tcPr>
          <w:p w:rsidR="00B60B0C" w:rsidRPr="00D06848" w:rsidRDefault="00B60B0C" w:rsidP="00B60B0C">
            <w:pPr>
              <w:jc w:val="center"/>
              <w:rPr>
                <w:rFonts w:cstheme="minorHAnsi"/>
                <w:b/>
              </w:rPr>
            </w:pPr>
            <w:r w:rsidRPr="00D06848">
              <w:rPr>
                <w:rFonts w:cstheme="minorHAnsi"/>
                <w:b/>
              </w:rPr>
              <w:t>No. 300mg capsules</w:t>
            </w:r>
          </w:p>
        </w:tc>
      </w:tr>
      <w:tr w:rsidR="00B60B0C" w:rsidRPr="00D06848" w:rsidTr="00B60B0C">
        <w:tc>
          <w:tcPr>
            <w:tcW w:w="1384" w:type="dxa"/>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b/>
                <w:bCs/>
                <w:sz w:val="22"/>
                <w:szCs w:val="22"/>
              </w:rPr>
              <w:t xml:space="preserve">Week 1 </w:t>
            </w:r>
          </w:p>
        </w:tc>
        <w:tc>
          <w:tcPr>
            <w:tcW w:w="1985" w:type="dxa"/>
            <w:vAlign w:val="center"/>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sz w:val="22"/>
                <w:szCs w:val="22"/>
              </w:rPr>
              <w:t>1200mg (</w:t>
            </w:r>
            <w:r w:rsidR="00854ACC" w:rsidRPr="00D06848">
              <w:rPr>
                <w:rFonts w:asciiTheme="minorHAnsi" w:hAnsiTheme="minorHAnsi" w:cstheme="minorHAnsi"/>
                <w:sz w:val="22"/>
                <w:szCs w:val="22"/>
              </w:rPr>
              <w:t>i.e.</w:t>
            </w:r>
            <w:r w:rsidRPr="00D06848">
              <w:rPr>
                <w:rFonts w:asciiTheme="minorHAnsi" w:hAnsiTheme="minorHAnsi" w:cstheme="minorHAnsi"/>
                <w:sz w:val="22"/>
                <w:szCs w:val="22"/>
              </w:rPr>
              <w:t xml:space="preserve"> 4 x 300mg) </w:t>
            </w:r>
          </w:p>
        </w:tc>
        <w:tc>
          <w:tcPr>
            <w:tcW w:w="1984" w:type="dxa"/>
            <w:vAlign w:val="center"/>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sz w:val="22"/>
                <w:szCs w:val="22"/>
              </w:rPr>
              <w:t>900mg (</w:t>
            </w:r>
            <w:r w:rsidR="00854ACC" w:rsidRPr="00D06848">
              <w:rPr>
                <w:rFonts w:asciiTheme="minorHAnsi" w:hAnsiTheme="minorHAnsi" w:cstheme="minorHAnsi"/>
                <w:sz w:val="22"/>
                <w:szCs w:val="22"/>
              </w:rPr>
              <w:t>i.e.</w:t>
            </w:r>
            <w:r w:rsidRPr="00D06848">
              <w:rPr>
                <w:rFonts w:asciiTheme="minorHAnsi" w:hAnsiTheme="minorHAnsi" w:cstheme="minorHAnsi"/>
                <w:sz w:val="22"/>
                <w:szCs w:val="22"/>
              </w:rPr>
              <w:t xml:space="preserve"> 3 x 300mg) </w:t>
            </w:r>
          </w:p>
        </w:tc>
        <w:tc>
          <w:tcPr>
            <w:tcW w:w="1843" w:type="dxa"/>
            <w:vAlign w:val="center"/>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sz w:val="22"/>
                <w:szCs w:val="22"/>
              </w:rPr>
              <w:t>1200mg (</w:t>
            </w:r>
            <w:r w:rsidR="00854ACC" w:rsidRPr="00D06848">
              <w:rPr>
                <w:rFonts w:asciiTheme="minorHAnsi" w:hAnsiTheme="minorHAnsi" w:cstheme="minorHAnsi"/>
                <w:sz w:val="22"/>
                <w:szCs w:val="22"/>
              </w:rPr>
              <w:t>i.e.</w:t>
            </w:r>
            <w:r w:rsidRPr="00D06848">
              <w:rPr>
                <w:rFonts w:asciiTheme="minorHAnsi" w:hAnsiTheme="minorHAnsi" w:cstheme="minorHAnsi"/>
                <w:sz w:val="22"/>
                <w:szCs w:val="22"/>
              </w:rPr>
              <w:t xml:space="preserve"> 4 x 300mg) </w:t>
            </w:r>
          </w:p>
        </w:tc>
        <w:tc>
          <w:tcPr>
            <w:tcW w:w="2046" w:type="dxa"/>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b/>
                <w:bCs/>
                <w:sz w:val="22"/>
                <w:szCs w:val="22"/>
              </w:rPr>
              <w:t xml:space="preserve">77 </w:t>
            </w:r>
          </w:p>
        </w:tc>
      </w:tr>
      <w:tr w:rsidR="00B60B0C" w:rsidRPr="00D06848" w:rsidTr="00B60B0C">
        <w:tc>
          <w:tcPr>
            <w:tcW w:w="1384" w:type="dxa"/>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b/>
                <w:bCs/>
                <w:sz w:val="22"/>
                <w:szCs w:val="22"/>
              </w:rPr>
              <w:t xml:space="preserve">Week 2 </w:t>
            </w:r>
          </w:p>
        </w:tc>
        <w:tc>
          <w:tcPr>
            <w:tcW w:w="1985" w:type="dxa"/>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sz w:val="22"/>
                <w:szCs w:val="22"/>
              </w:rPr>
              <w:t xml:space="preserve">900mg </w:t>
            </w:r>
          </w:p>
        </w:tc>
        <w:tc>
          <w:tcPr>
            <w:tcW w:w="1984" w:type="dxa"/>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sz w:val="22"/>
                <w:szCs w:val="22"/>
              </w:rPr>
              <w:t xml:space="preserve">900mg </w:t>
            </w:r>
          </w:p>
        </w:tc>
        <w:tc>
          <w:tcPr>
            <w:tcW w:w="1843" w:type="dxa"/>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sz w:val="22"/>
                <w:szCs w:val="22"/>
              </w:rPr>
              <w:t xml:space="preserve">1200mg </w:t>
            </w:r>
          </w:p>
        </w:tc>
        <w:tc>
          <w:tcPr>
            <w:tcW w:w="2046" w:type="dxa"/>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b/>
                <w:bCs/>
                <w:sz w:val="22"/>
                <w:szCs w:val="22"/>
              </w:rPr>
              <w:t xml:space="preserve">70 </w:t>
            </w:r>
          </w:p>
        </w:tc>
      </w:tr>
      <w:tr w:rsidR="00B60B0C" w:rsidRPr="00D06848" w:rsidTr="00B60B0C">
        <w:tc>
          <w:tcPr>
            <w:tcW w:w="1384" w:type="dxa"/>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b/>
                <w:bCs/>
                <w:sz w:val="22"/>
                <w:szCs w:val="22"/>
              </w:rPr>
              <w:t xml:space="preserve">Week 3 </w:t>
            </w:r>
          </w:p>
        </w:tc>
        <w:tc>
          <w:tcPr>
            <w:tcW w:w="1985" w:type="dxa"/>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sz w:val="22"/>
                <w:szCs w:val="22"/>
              </w:rPr>
              <w:t xml:space="preserve">900mg </w:t>
            </w:r>
          </w:p>
        </w:tc>
        <w:tc>
          <w:tcPr>
            <w:tcW w:w="1984" w:type="dxa"/>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sz w:val="22"/>
                <w:szCs w:val="22"/>
              </w:rPr>
              <w:t xml:space="preserve">900mg </w:t>
            </w:r>
          </w:p>
        </w:tc>
        <w:tc>
          <w:tcPr>
            <w:tcW w:w="1843" w:type="dxa"/>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sz w:val="22"/>
                <w:szCs w:val="22"/>
              </w:rPr>
              <w:t xml:space="preserve">900mg </w:t>
            </w:r>
          </w:p>
        </w:tc>
        <w:tc>
          <w:tcPr>
            <w:tcW w:w="2046" w:type="dxa"/>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b/>
                <w:bCs/>
                <w:sz w:val="22"/>
                <w:szCs w:val="22"/>
              </w:rPr>
              <w:t xml:space="preserve">63 </w:t>
            </w:r>
          </w:p>
        </w:tc>
      </w:tr>
      <w:tr w:rsidR="00B60B0C" w:rsidRPr="00D06848" w:rsidTr="00B60B0C">
        <w:tc>
          <w:tcPr>
            <w:tcW w:w="1384" w:type="dxa"/>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b/>
                <w:bCs/>
                <w:sz w:val="22"/>
                <w:szCs w:val="22"/>
              </w:rPr>
              <w:t xml:space="preserve">Week 4 </w:t>
            </w:r>
          </w:p>
        </w:tc>
        <w:tc>
          <w:tcPr>
            <w:tcW w:w="1985" w:type="dxa"/>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sz w:val="22"/>
                <w:szCs w:val="22"/>
              </w:rPr>
              <w:t xml:space="preserve">900mg </w:t>
            </w:r>
          </w:p>
        </w:tc>
        <w:tc>
          <w:tcPr>
            <w:tcW w:w="1984" w:type="dxa"/>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sz w:val="22"/>
                <w:szCs w:val="22"/>
              </w:rPr>
              <w:t xml:space="preserve">600mg </w:t>
            </w:r>
          </w:p>
        </w:tc>
        <w:tc>
          <w:tcPr>
            <w:tcW w:w="1843" w:type="dxa"/>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sz w:val="22"/>
                <w:szCs w:val="22"/>
              </w:rPr>
              <w:t xml:space="preserve">900mg </w:t>
            </w:r>
          </w:p>
        </w:tc>
        <w:tc>
          <w:tcPr>
            <w:tcW w:w="2046" w:type="dxa"/>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b/>
                <w:bCs/>
                <w:sz w:val="22"/>
                <w:szCs w:val="22"/>
              </w:rPr>
              <w:t xml:space="preserve">56 </w:t>
            </w:r>
          </w:p>
        </w:tc>
      </w:tr>
      <w:tr w:rsidR="00B60B0C" w:rsidRPr="00D06848" w:rsidTr="00B60B0C">
        <w:tc>
          <w:tcPr>
            <w:tcW w:w="1384" w:type="dxa"/>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b/>
                <w:bCs/>
                <w:sz w:val="22"/>
                <w:szCs w:val="22"/>
              </w:rPr>
              <w:t xml:space="preserve">Week 5 </w:t>
            </w:r>
          </w:p>
        </w:tc>
        <w:tc>
          <w:tcPr>
            <w:tcW w:w="1985" w:type="dxa"/>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sz w:val="22"/>
                <w:szCs w:val="22"/>
              </w:rPr>
              <w:t xml:space="preserve">600mg </w:t>
            </w:r>
          </w:p>
        </w:tc>
        <w:tc>
          <w:tcPr>
            <w:tcW w:w="1984" w:type="dxa"/>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sz w:val="22"/>
                <w:szCs w:val="22"/>
              </w:rPr>
              <w:t xml:space="preserve">600mg </w:t>
            </w:r>
          </w:p>
        </w:tc>
        <w:tc>
          <w:tcPr>
            <w:tcW w:w="1843" w:type="dxa"/>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sz w:val="22"/>
                <w:szCs w:val="22"/>
              </w:rPr>
              <w:t xml:space="preserve">900mg </w:t>
            </w:r>
          </w:p>
        </w:tc>
        <w:tc>
          <w:tcPr>
            <w:tcW w:w="2046" w:type="dxa"/>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b/>
                <w:bCs/>
                <w:sz w:val="22"/>
                <w:szCs w:val="22"/>
              </w:rPr>
              <w:t xml:space="preserve">49 </w:t>
            </w:r>
          </w:p>
        </w:tc>
      </w:tr>
      <w:tr w:rsidR="00B60B0C" w:rsidRPr="00D06848" w:rsidTr="00B60B0C">
        <w:tc>
          <w:tcPr>
            <w:tcW w:w="1384" w:type="dxa"/>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b/>
                <w:bCs/>
                <w:sz w:val="22"/>
                <w:szCs w:val="22"/>
              </w:rPr>
              <w:t xml:space="preserve">Week 6 </w:t>
            </w:r>
          </w:p>
        </w:tc>
        <w:tc>
          <w:tcPr>
            <w:tcW w:w="1985" w:type="dxa"/>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sz w:val="22"/>
                <w:szCs w:val="22"/>
              </w:rPr>
              <w:t xml:space="preserve">600mg </w:t>
            </w:r>
          </w:p>
        </w:tc>
        <w:tc>
          <w:tcPr>
            <w:tcW w:w="1984" w:type="dxa"/>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sz w:val="22"/>
                <w:szCs w:val="22"/>
              </w:rPr>
              <w:t xml:space="preserve">600mg </w:t>
            </w:r>
          </w:p>
        </w:tc>
        <w:tc>
          <w:tcPr>
            <w:tcW w:w="1843" w:type="dxa"/>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sz w:val="22"/>
                <w:szCs w:val="22"/>
              </w:rPr>
              <w:t xml:space="preserve">600mg </w:t>
            </w:r>
          </w:p>
        </w:tc>
        <w:tc>
          <w:tcPr>
            <w:tcW w:w="2046" w:type="dxa"/>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b/>
                <w:bCs/>
                <w:sz w:val="22"/>
                <w:szCs w:val="22"/>
              </w:rPr>
              <w:t xml:space="preserve">42 </w:t>
            </w:r>
          </w:p>
        </w:tc>
      </w:tr>
      <w:tr w:rsidR="00B60B0C" w:rsidRPr="00D06848" w:rsidTr="00B60B0C">
        <w:tc>
          <w:tcPr>
            <w:tcW w:w="1384" w:type="dxa"/>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b/>
                <w:bCs/>
                <w:sz w:val="22"/>
                <w:szCs w:val="22"/>
              </w:rPr>
              <w:t xml:space="preserve">Week 7 </w:t>
            </w:r>
          </w:p>
        </w:tc>
        <w:tc>
          <w:tcPr>
            <w:tcW w:w="1985" w:type="dxa"/>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sz w:val="22"/>
                <w:szCs w:val="22"/>
              </w:rPr>
              <w:t xml:space="preserve">600mg </w:t>
            </w:r>
          </w:p>
        </w:tc>
        <w:tc>
          <w:tcPr>
            <w:tcW w:w="1984" w:type="dxa"/>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sz w:val="22"/>
                <w:szCs w:val="22"/>
              </w:rPr>
              <w:t xml:space="preserve">300mg </w:t>
            </w:r>
          </w:p>
        </w:tc>
        <w:tc>
          <w:tcPr>
            <w:tcW w:w="1843" w:type="dxa"/>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sz w:val="22"/>
                <w:szCs w:val="22"/>
              </w:rPr>
              <w:t xml:space="preserve">600mg </w:t>
            </w:r>
          </w:p>
        </w:tc>
        <w:tc>
          <w:tcPr>
            <w:tcW w:w="2046" w:type="dxa"/>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b/>
                <w:bCs/>
                <w:sz w:val="22"/>
                <w:szCs w:val="22"/>
              </w:rPr>
              <w:t xml:space="preserve">35 </w:t>
            </w:r>
          </w:p>
        </w:tc>
      </w:tr>
      <w:tr w:rsidR="00B60B0C" w:rsidRPr="00D06848" w:rsidTr="00B60B0C">
        <w:tc>
          <w:tcPr>
            <w:tcW w:w="1384" w:type="dxa"/>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b/>
                <w:bCs/>
                <w:sz w:val="22"/>
                <w:szCs w:val="22"/>
              </w:rPr>
              <w:t xml:space="preserve">Week 8 </w:t>
            </w:r>
          </w:p>
        </w:tc>
        <w:tc>
          <w:tcPr>
            <w:tcW w:w="1985" w:type="dxa"/>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sz w:val="22"/>
                <w:szCs w:val="22"/>
              </w:rPr>
              <w:t xml:space="preserve">300mg </w:t>
            </w:r>
          </w:p>
        </w:tc>
        <w:tc>
          <w:tcPr>
            <w:tcW w:w="1984" w:type="dxa"/>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sz w:val="22"/>
                <w:szCs w:val="22"/>
              </w:rPr>
              <w:t xml:space="preserve">300mg </w:t>
            </w:r>
          </w:p>
        </w:tc>
        <w:tc>
          <w:tcPr>
            <w:tcW w:w="1843" w:type="dxa"/>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sz w:val="22"/>
                <w:szCs w:val="22"/>
              </w:rPr>
              <w:t xml:space="preserve">600mg </w:t>
            </w:r>
          </w:p>
        </w:tc>
        <w:tc>
          <w:tcPr>
            <w:tcW w:w="2046" w:type="dxa"/>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b/>
                <w:bCs/>
                <w:sz w:val="22"/>
                <w:szCs w:val="22"/>
              </w:rPr>
              <w:t xml:space="preserve">28 </w:t>
            </w:r>
          </w:p>
        </w:tc>
      </w:tr>
      <w:tr w:rsidR="00B60B0C" w:rsidRPr="00D06848" w:rsidTr="00B60B0C">
        <w:tc>
          <w:tcPr>
            <w:tcW w:w="1384" w:type="dxa"/>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b/>
                <w:bCs/>
                <w:sz w:val="22"/>
                <w:szCs w:val="22"/>
              </w:rPr>
              <w:t xml:space="preserve">Week 9 </w:t>
            </w:r>
          </w:p>
        </w:tc>
        <w:tc>
          <w:tcPr>
            <w:tcW w:w="1985" w:type="dxa"/>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sz w:val="22"/>
                <w:szCs w:val="22"/>
              </w:rPr>
              <w:t xml:space="preserve">300mg </w:t>
            </w:r>
          </w:p>
        </w:tc>
        <w:tc>
          <w:tcPr>
            <w:tcW w:w="1984" w:type="dxa"/>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sz w:val="22"/>
                <w:szCs w:val="22"/>
              </w:rPr>
              <w:t xml:space="preserve">300mg </w:t>
            </w:r>
          </w:p>
        </w:tc>
        <w:tc>
          <w:tcPr>
            <w:tcW w:w="1843" w:type="dxa"/>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sz w:val="22"/>
                <w:szCs w:val="22"/>
              </w:rPr>
              <w:t xml:space="preserve">300mg </w:t>
            </w:r>
          </w:p>
        </w:tc>
        <w:tc>
          <w:tcPr>
            <w:tcW w:w="2046" w:type="dxa"/>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b/>
                <w:bCs/>
                <w:sz w:val="22"/>
                <w:szCs w:val="22"/>
              </w:rPr>
              <w:t xml:space="preserve">21 </w:t>
            </w:r>
          </w:p>
        </w:tc>
      </w:tr>
      <w:tr w:rsidR="00B60B0C" w:rsidRPr="00D06848" w:rsidTr="00B60B0C">
        <w:tc>
          <w:tcPr>
            <w:tcW w:w="1384" w:type="dxa"/>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b/>
                <w:bCs/>
                <w:sz w:val="22"/>
                <w:szCs w:val="22"/>
              </w:rPr>
              <w:t xml:space="preserve">Week 10 </w:t>
            </w:r>
          </w:p>
        </w:tc>
        <w:tc>
          <w:tcPr>
            <w:tcW w:w="1985" w:type="dxa"/>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sz w:val="22"/>
                <w:szCs w:val="22"/>
              </w:rPr>
              <w:t xml:space="preserve">300mg </w:t>
            </w:r>
          </w:p>
        </w:tc>
        <w:tc>
          <w:tcPr>
            <w:tcW w:w="1984" w:type="dxa"/>
            <w:vAlign w:val="center"/>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sz w:val="22"/>
                <w:szCs w:val="22"/>
              </w:rPr>
              <w:t>-</w:t>
            </w:r>
          </w:p>
        </w:tc>
        <w:tc>
          <w:tcPr>
            <w:tcW w:w="1843" w:type="dxa"/>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sz w:val="22"/>
                <w:szCs w:val="22"/>
              </w:rPr>
              <w:t xml:space="preserve">300mg </w:t>
            </w:r>
          </w:p>
        </w:tc>
        <w:tc>
          <w:tcPr>
            <w:tcW w:w="2046" w:type="dxa"/>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b/>
                <w:bCs/>
                <w:sz w:val="22"/>
                <w:szCs w:val="22"/>
              </w:rPr>
              <w:t xml:space="preserve">14 </w:t>
            </w:r>
          </w:p>
        </w:tc>
      </w:tr>
      <w:tr w:rsidR="00B60B0C" w:rsidRPr="00D06848" w:rsidTr="00B60B0C">
        <w:tc>
          <w:tcPr>
            <w:tcW w:w="1384" w:type="dxa"/>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b/>
                <w:bCs/>
                <w:sz w:val="22"/>
                <w:szCs w:val="22"/>
              </w:rPr>
              <w:t xml:space="preserve">Week 11 </w:t>
            </w:r>
          </w:p>
        </w:tc>
        <w:tc>
          <w:tcPr>
            <w:tcW w:w="1985" w:type="dxa"/>
            <w:vAlign w:val="center"/>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sz w:val="22"/>
                <w:szCs w:val="22"/>
              </w:rPr>
              <w:t>-</w:t>
            </w:r>
          </w:p>
        </w:tc>
        <w:tc>
          <w:tcPr>
            <w:tcW w:w="1984" w:type="dxa"/>
            <w:vAlign w:val="center"/>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sz w:val="22"/>
                <w:szCs w:val="22"/>
              </w:rPr>
              <w:t>-</w:t>
            </w:r>
          </w:p>
        </w:tc>
        <w:tc>
          <w:tcPr>
            <w:tcW w:w="1843" w:type="dxa"/>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sz w:val="22"/>
                <w:szCs w:val="22"/>
              </w:rPr>
              <w:t xml:space="preserve">300mg </w:t>
            </w:r>
          </w:p>
        </w:tc>
        <w:tc>
          <w:tcPr>
            <w:tcW w:w="2046" w:type="dxa"/>
          </w:tcPr>
          <w:p w:rsidR="00B60B0C" w:rsidRPr="00D06848" w:rsidRDefault="00B60B0C" w:rsidP="00B60B0C">
            <w:pPr>
              <w:pStyle w:val="Default"/>
              <w:jc w:val="center"/>
              <w:rPr>
                <w:rFonts w:asciiTheme="minorHAnsi" w:hAnsiTheme="minorHAnsi" w:cstheme="minorHAnsi"/>
                <w:sz w:val="22"/>
                <w:szCs w:val="22"/>
              </w:rPr>
            </w:pPr>
            <w:r w:rsidRPr="00D06848">
              <w:rPr>
                <w:rFonts w:asciiTheme="minorHAnsi" w:hAnsiTheme="minorHAnsi" w:cstheme="minorHAnsi"/>
                <w:b/>
                <w:bCs/>
                <w:sz w:val="22"/>
                <w:szCs w:val="22"/>
              </w:rPr>
              <w:t xml:space="preserve">7 </w:t>
            </w:r>
          </w:p>
        </w:tc>
      </w:tr>
    </w:tbl>
    <w:p w:rsidR="00B60B0C" w:rsidRDefault="00B60B0C" w:rsidP="00B60B0C"/>
    <w:p w:rsidR="00D06848" w:rsidRDefault="00D06848" w:rsidP="00B60B0C">
      <w:pPr>
        <w:rPr>
          <w:b/>
        </w:rPr>
      </w:pPr>
      <w:r>
        <w:rPr>
          <w:b/>
        </w:rPr>
        <w:t>Pregabalin</w:t>
      </w:r>
    </w:p>
    <w:p w:rsidR="00D06848" w:rsidRPr="00D06848" w:rsidRDefault="00D06848" w:rsidP="00B60B0C">
      <w:r>
        <w:t>Suggested pregabalin reduction from 300mg BD</w:t>
      </w:r>
    </w:p>
    <w:tbl>
      <w:tblPr>
        <w:tblStyle w:val="TableGrid"/>
        <w:tblW w:w="0" w:type="auto"/>
        <w:tblLook w:val="04A0" w:firstRow="1" w:lastRow="0" w:firstColumn="1" w:lastColumn="0" w:noHBand="0" w:noVBand="1"/>
      </w:tblPr>
      <w:tblGrid>
        <w:gridCol w:w="1848"/>
        <w:gridCol w:w="1848"/>
        <w:gridCol w:w="1848"/>
      </w:tblGrid>
      <w:tr w:rsidR="00D06848" w:rsidTr="00D06848">
        <w:tc>
          <w:tcPr>
            <w:tcW w:w="1848" w:type="dxa"/>
          </w:tcPr>
          <w:p w:rsidR="00D06848" w:rsidRPr="00D06848" w:rsidRDefault="00D06848" w:rsidP="00D06848">
            <w:r w:rsidRPr="00D06848">
              <w:t>Pregabalin</w:t>
            </w:r>
            <w:r>
              <w:t>*</w:t>
            </w:r>
          </w:p>
        </w:tc>
        <w:tc>
          <w:tcPr>
            <w:tcW w:w="1848" w:type="dxa"/>
          </w:tcPr>
          <w:p w:rsidR="00D06848" w:rsidRPr="00D06848" w:rsidRDefault="00D06848" w:rsidP="00D06848">
            <w:pPr>
              <w:rPr>
                <w:b/>
              </w:rPr>
            </w:pPr>
            <w:r w:rsidRPr="00D06848">
              <w:rPr>
                <w:b/>
              </w:rPr>
              <w:t>Morning</w:t>
            </w:r>
          </w:p>
        </w:tc>
        <w:tc>
          <w:tcPr>
            <w:tcW w:w="1848" w:type="dxa"/>
          </w:tcPr>
          <w:p w:rsidR="00D06848" w:rsidRPr="00D06848" w:rsidRDefault="00D06848" w:rsidP="00D06848">
            <w:pPr>
              <w:rPr>
                <w:b/>
              </w:rPr>
            </w:pPr>
            <w:r w:rsidRPr="00D06848">
              <w:rPr>
                <w:b/>
              </w:rPr>
              <w:t>Night</w:t>
            </w:r>
          </w:p>
        </w:tc>
      </w:tr>
      <w:tr w:rsidR="00D06848" w:rsidTr="00D06848">
        <w:tc>
          <w:tcPr>
            <w:tcW w:w="1848" w:type="dxa"/>
          </w:tcPr>
          <w:p w:rsidR="00D06848" w:rsidRPr="00D06848" w:rsidRDefault="00D06848" w:rsidP="00D06848">
            <w:r w:rsidRPr="00D06848">
              <w:rPr>
                <w:b/>
                <w:bCs/>
              </w:rPr>
              <w:t xml:space="preserve">Week 1 </w:t>
            </w:r>
          </w:p>
        </w:tc>
        <w:tc>
          <w:tcPr>
            <w:tcW w:w="1848" w:type="dxa"/>
          </w:tcPr>
          <w:p w:rsidR="00D06848" w:rsidRPr="00D06848" w:rsidRDefault="00D06848" w:rsidP="00D06848">
            <w:r w:rsidRPr="00D06848">
              <w:t xml:space="preserve">250mg </w:t>
            </w:r>
          </w:p>
        </w:tc>
        <w:tc>
          <w:tcPr>
            <w:tcW w:w="1848" w:type="dxa"/>
          </w:tcPr>
          <w:p w:rsidR="00D06848" w:rsidRPr="00D06848" w:rsidRDefault="00D06848" w:rsidP="00D06848">
            <w:r w:rsidRPr="00D06848">
              <w:t xml:space="preserve">300mg </w:t>
            </w:r>
          </w:p>
        </w:tc>
      </w:tr>
      <w:tr w:rsidR="00D06848" w:rsidTr="00D06848">
        <w:tc>
          <w:tcPr>
            <w:tcW w:w="1848" w:type="dxa"/>
          </w:tcPr>
          <w:p w:rsidR="00D06848" w:rsidRPr="00D06848" w:rsidRDefault="00D06848" w:rsidP="00D06848">
            <w:r w:rsidRPr="00D06848">
              <w:rPr>
                <w:b/>
                <w:bCs/>
              </w:rPr>
              <w:t xml:space="preserve">Week 2 </w:t>
            </w:r>
          </w:p>
        </w:tc>
        <w:tc>
          <w:tcPr>
            <w:tcW w:w="1848" w:type="dxa"/>
          </w:tcPr>
          <w:p w:rsidR="00D06848" w:rsidRPr="00D06848" w:rsidRDefault="00D06848" w:rsidP="00D06848">
            <w:r w:rsidRPr="00D06848">
              <w:t xml:space="preserve">250mg </w:t>
            </w:r>
          </w:p>
        </w:tc>
        <w:tc>
          <w:tcPr>
            <w:tcW w:w="1848" w:type="dxa"/>
          </w:tcPr>
          <w:p w:rsidR="00D06848" w:rsidRPr="00D06848" w:rsidRDefault="00D06848" w:rsidP="00D06848">
            <w:r w:rsidRPr="00D06848">
              <w:t xml:space="preserve">250mg </w:t>
            </w:r>
          </w:p>
        </w:tc>
      </w:tr>
      <w:tr w:rsidR="00D06848" w:rsidTr="00D06848">
        <w:tc>
          <w:tcPr>
            <w:tcW w:w="1848" w:type="dxa"/>
          </w:tcPr>
          <w:p w:rsidR="00D06848" w:rsidRPr="00D06848" w:rsidRDefault="00D06848" w:rsidP="00D06848">
            <w:r w:rsidRPr="00D06848">
              <w:rPr>
                <w:b/>
                <w:bCs/>
              </w:rPr>
              <w:t xml:space="preserve">Week 3 </w:t>
            </w:r>
          </w:p>
        </w:tc>
        <w:tc>
          <w:tcPr>
            <w:tcW w:w="1848" w:type="dxa"/>
          </w:tcPr>
          <w:p w:rsidR="00D06848" w:rsidRPr="00D06848" w:rsidRDefault="00D06848" w:rsidP="00D06848">
            <w:r w:rsidRPr="00D06848">
              <w:t xml:space="preserve">200mg </w:t>
            </w:r>
          </w:p>
        </w:tc>
        <w:tc>
          <w:tcPr>
            <w:tcW w:w="1848" w:type="dxa"/>
          </w:tcPr>
          <w:p w:rsidR="00D06848" w:rsidRPr="00D06848" w:rsidRDefault="00D06848" w:rsidP="00D06848">
            <w:r w:rsidRPr="00D06848">
              <w:t xml:space="preserve">250mg </w:t>
            </w:r>
          </w:p>
        </w:tc>
      </w:tr>
      <w:tr w:rsidR="00D06848" w:rsidTr="00D06848">
        <w:tc>
          <w:tcPr>
            <w:tcW w:w="1848" w:type="dxa"/>
          </w:tcPr>
          <w:p w:rsidR="00D06848" w:rsidRPr="00D06848" w:rsidRDefault="00D06848" w:rsidP="00D06848">
            <w:r w:rsidRPr="00D06848">
              <w:rPr>
                <w:b/>
                <w:bCs/>
              </w:rPr>
              <w:t xml:space="preserve">Week 4 </w:t>
            </w:r>
          </w:p>
        </w:tc>
        <w:tc>
          <w:tcPr>
            <w:tcW w:w="1848" w:type="dxa"/>
          </w:tcPr>
          <w:p w:rsidR="00D06848" w:rsidRPr="00D06848" w:rsidRDefault="00D06848" w:rsidP="00D06848">
            <w:r w:rsidRPr="00D06848">
              <w:t xml:space="preserve">200mg </w:t>
            </w:r>
          </w:p>
        </w:tc>
        <w:tc>
          <w:tcPr>
            <w:tcW w:w="1848" w:type="dxa"/>
          </w:tcPr>
          <w:p w:rsidR="00D06848" w:rsidRPr="00D06848" w:rsidRDefault="00D06848" w:rsidP="00D06848">
            <w:r w:rsidRPr="00D06848">
              <w:t xml:space="preserve">200mg </w:t>
            </w:r>
          </w:p>
        </w:tc>
      </w:tr>
      <w:tr w:rsidR="00D06848" w:rsidTr="00D06848">
        <w:tc>
          <w:tcPr>
            <w:tcW w:w="1848" w:type="dxa"/>
          </w:tcPr>
          <w:p w:rsidR="00D06848" w:rsidRPr="00D06848" w:rsidRDefault="00D06848" w:rsidP="00D06848">
            <w:r w:rsidRPr="00D06848">
              <w:rPr>
                <w:b/>
                <w:bCs/>
              </w:rPr>
              <w:t xml:space="preserve">Week 5 </w:t>
            </w:r>
          </w:p>
        </w:tc>
        <w:tc>
          <w:tcPr>
            <w:tcW w:w="1848" w:type="dxa"/>
          </w:tcPr>
          <w:p w:rsidR="00D06848" w:rsidRPr="00D06848" w:rsidRDefault="00D06848" w:rsidP="00D06848">
            <w:r w:rsidRPr="00D06848">
              <w:t xml:space="preserve">150mg </w:t>
            </w:r>
          </w:p>
        </w:tc>
        <w:tc>
          <w:tcPr>
            <w:tcW w:w="1848" w:type="dxa"/>
          </w:tcPr>
          <w:p w:rsidR="00D06848" w:rsidRPr="00D06848" w:rsidRDefault="00D06848" w:rsidP="00D06848">
            <w:r w:rsidRPr="00D06848">
              <w:t xml:space="preserve">200mg </w:t>
            </w:r>
          </w:p>
        </w:tc>
      </w:tr>
      <w:tr w:rsidR="00D06848" w:rsidTr="00D06848">
        <w:tc>
          <w:tcPr>
            <w:tcW w:w="1848" w:type="dxa"/>
          </w:tcPr>
          <w:p w:rsidR="00D06848" w:rsidRPr="00D06848" w:rsidRDefault="00D06848" w:rsidP="00D06848">
            <w:r w:rsidRPr="00D06848">
              <w:rPr>
                <w:b/>
                <w:bCs/>
              </w:rPr>
              <w:t xml:space="preserve">Week 6 </w:t>
            </w:r>
          </w:p>
        </w:tc>
        <w:tc>
          <w:tcPr>
            <w:tcW w:w="1848" w:type="dxa"/>
          </w:tcPr>
          <w:p w:rsidR="00D06848" w:rsidRPr="00D06848" w:rsidRDefault="00D06848" w:rsidP="00D06848">
            <w:r w:rsidRPr="00D06848">
              <w:t xml:space="preserve">150mg </w:t>
            </w:r>
          </w:p>
        </w:tc>
        <w:tc>
          <w:tcPr>
            <w:tcW w:w="1848" w:type="dxa"/>
          </w:tcPr>
          <w:p w:rsidR="00D06848" w:rsidRPr="00D06848" w:rsidRDefault="00D06848" w:rsidP="00D06848">
            <w:r w:rsidRPr="00D06848">
              <w:t xml:space="preserve">150mg </w:t>
            </w:r>
          </w:p>
        </w:tc>
      </w:tr>
      <w:tr w:rsidR="00D06848" w:rsidTr="00D06848">
        <w:tc>
          <w:tcPr>
            <w:tcW w:w="1848" w:type="dxa"/>
          </w:tcPr>
          <w:p w:rsidR="00D06848" w:rsidRPr="00D06848" w:rsidRDefault="00D06848" w:rsidP="00D06848">
            <w:r w:rsidRPr="00D06848">
              <w:rPr>
                <w:b/>
                <w:bCs/>
              </w:rPr>
              <w:t xml:space="preserve">Week 7 </w:t>
            </w:r>
          </w:p>
        </w:tc>
        <w:tc>
          <w:tcPr>
            <w:tcW w:w="1848" w:type="dxa"/>
          </w:tcPr>
          <w:p w:rsidR="00D06848" w:rsidRPr="00D06848" w:rsidRDefault="00D06848" w:rsidP="00D06848">
            <w:r w:rsidRPr="00D06848">
              <w:t xml:space="preserve">100mg </w:t>
            </w:r>
          </w:p>
        </w:tc>
        <w:tc>
          <w:tcPr>
            <w:tcW w:w="1848" w:type="dxa"/>
          </w:tcPr>
          <w:p w:rsidR="00D06848" w:rsidRPr="00D06848" w:rsidRDefault="00D06848" w:rsidP="00D06848">
            <w:r w:rsidRPr="00D06848">
              <w:t xml:space="preserve">150mg </w:t>
            </w:r>
          </w:p>
        </w:tc>
      </w:tr>
      <w:tr w:rsidR="00D06848" w:rsidTr="00D06848">
        <w:tc>
          <w:tcPr>
            <w:tcW w:w="1848" w:type="dxa"/>
          </w:tcPr>
          <w:p w:rsidR="00D06848" w:rsidRPr="00D06848" w:rsidRDefault="00D06848" w:rsidP="00D06848">
            <w:r w:rsidRPr="00D06848">
              <w:rPr>
                <w:b/>
                <w:bCs/>
              </w:rPr>
              <w:t xml:space="preserve">Week 8 </w:t>
            </w:r>
          </w:p>
        </w:tc>
        <w:tc>
          <w:tcPr>
            <w:tcW w:w="1848" w:type="dxa"/>
          </w:tcPr>
          <w:p w:rsidR="00D06848" w:rsidRPr="00D06848" w:rsidRDefault="00D06848" w:rsidP="00D06848">
            <w:r w:rsidRPr="00D06848">
              <w:t xml:space="preserve">100mg </w:t>
            </w:r>
          </w:p>
        </w:tc>
        <w:tc>
          <w:tcPr>
            <w:tcW w:w="1848" w:type="dxa"/>
          </w:tcPr>
          <w:p w:rsidR="00D06848" w:rsidRPr="00D06848" w:rsidRDefault="00D06848" w:rsidP="00D06848">
            <w:r w:rsidRPr="00D06848">
              <w:t xml:space="preserve">100mg </w:t>
            </w:r>
          </w:p>
        </w:tc>
      </w:tr>
      <w:tr w:rsidR="00D06848" w:rsidTr="00D06848">
        <w:tc>
          <w:tcPr>
            <w:tcW w:w="1848" w:type="dxa"/>
          </w:tcPr>
          <w:p w:rsidR="00D06848" w:rsidRPr="00D06848" w:rsidRDefault="00D06848" w:rsidP="00D06848">
            <w:r w:rsidRPr="00D06848">
              <w:rPr>
                <w:b/>
                <w:bCs/>
              </w:rPr>
              <w:t xml:space="preserve">Week 9 </w:t>
            </w:r>
          </w:p>
        </w:tc>
        <w:tc>
          <w:tcPr>
            <w:tcW w:w="1848" w:type="dxa"/>
          </w:tcPr>
          <w:p w:rsidR="00D06848" w:rsidRPr="00D06848" w:rsidRDefault="00D06848" w:rsidP="00D06848">
            <w:r w:rsidRPr="00D06848">
              <w:t xml:space="preserve">50mg </w:t>
            </w:r>
          </w:p>
        </w:tc>
        <w:tc>
          <w:tcPr>
            <w:tcW w:w="1848" w:type="dxa"/>
          </w:tcPr>
          <w:p w:rsidR="00D06848" w:rsidRPr="00D06848" w:rsidRDefault="00D06848" w:rsidP="00D06848">
            <w:r w:rsidRPr="00D06848">
              <w:t xml:space="preserve">100mg </w:t>
            </w:r>
          </w:p>
        </w:tc>
      </w:tr>
      <w:tr w:rsidR="00D06848" w:rsidTr="00D06848">
        <w:tc>
          <w:tcPr>
            <w:tcW w:w="1848" w:type="dxa"/>
          </w:tcPr>
          <w:p w:rsidR="00D06848" w:rsidRPr="00D06848" w:rsidRDefault="00D06848" w:rsidP="00D06848">
            <w:r w:rsidRPr="00D06848">
              <w:rPr>
                <w:b/>
                <w:bCs/>
              </w:rPr>
              <w:t xml:space="preserve">Week 10 </w:t>
            </w:r>
          </w:p>
        </w:tc>
        <w:tc>
          <w:tcPr>
            <w:tcW w:w="1848" w:type="dxa"/>
          </w:tcPr>
          <w:p w:rsidR="00D06848" w:rsidRPr="00D06848" w:rsidRDefault="00D06848" w:rsidP="00D06848">
            <w:r w:rsidRPr="00D06848">
              <w:t xml:space="preserve">50mg </w:t>
            </w:r>
          </w:p>
        </w:tc>
        <w:tc>
          <w:tcPr>
            <w:tcW w:w="1848" w:type="dxa"/>
          </w:tcPr>
          <w:p w:rsidR="00D06848" w:rsidRPr="00D06848" w:rsidRDefault="00D06848" w:rsidP="00D06848">
            <w:r w:rsidRPr="00D06848">
              <w:t xml:space="preserve">50mg </w:t>
            </w:r>
          </w:p>
        </w:tc>
      </w:tr>
      <w:tr w:rsidR="00D06848" w:rsidTr="00D06848">
        <w:tc>
          <w:tcPr>
            <w:tcW w:w="1848" w:type="dxa"/>
          </w:tcPr>
          <w:p w:rsidR="00D06848" w:rsidRPr="00D06848" w:rsidRDefault="00D06848" w:rsidP="00D06848">
            <w:r w:rsidRPr="00D06848">
              <w:rPr>
                <w:b/>
                <w:bCs/>
              </w:rPr>
              <w:t xml:space="preserve">Week 11 </w:t>
            </w:r>
          </w:p>
        </w:tc>
        <w:tc>
          <w:tcPr>
            <w:tcW w:w="1848" w:type="dxa"/>
          </w:tcPr>
          <w:p w:rsidR="00D06848" w:rsidRPr="00D06848" w:rsidRDefault="00D06848" w:rsidP="00D06848">
            <w:r w:rsidRPr="00D06848">
              <w:t xml:space="preserve">25mg </w:t>
            </w:r>
          </w:p>
        </w:tc>
        <w:tc>
          <w:tcPr>
            <w:tcW w:w="1848" w:type="dxa"/>
          </w:tcPr>
          <w:p w:rsidR="00D06848" w:rsidRPr="00D06848" w:rsidRDefault="00D06848" w:rsidP="00D06848">
            <w:r w:rsidRPr="00D06848">
              <w:t xml:space="preserve">25mg </w:t>
            </w:r>
          </w:p>
        </w:tc>
      </w:tr>
      <w:tr w:rsidR="00D06848" w:rsidTr="00D06848">
        <w:tc>
          <w:tcPr>
            <w:tcW w:w="1848" w:type="dxa"/>
          </w:tcPr>
          <w:p w:rsidR="00D06848" w:rsidRPr="00D06848" w:rsidRDefault="00D06848" w:rsidP="00D06848">
            <w:r w:rsidRPr="00D06848">
              <w:rPr>
                <w:b/>
                <w:bCs/>
              </w:rPr>
              <w:t xml:space="preserve">Week 12 </w:t>
            </w:r>
          </w:p>
        </w:tc>
        <w:tc>
          <w:tcPr>
            <w:tcW w:w="1848" w:type="dxa"/>
            <w:vAlign w:val="center"/>
          </w:tcPr>
          <w:p w:rsidR="00D06848" w:rsidRPr="00D06848" w:rsidRDefault="00D06848" w:rsidP="00D06848">
            <w:r w:rsidRPr="00D06848">
              <w:t>-</w:t>
            </w:r>
          </w:p>
        </w:tc>
        <w:tc>
          <w:tcPr>
            <w:tcW w:w="1848" w:type="dxa"/>
          </w:tcPr>
          <w:p w:rsidR="00D06848" w:rsidRPr="00D06848" w:rsidRDefault="00D06848" w:rsidP="00D06848">
            <w:r w:rsidRPr="00D06848">
              <w:t xml:space="preserve">25mg </w:t>
            </w:r>
          </w:p>
        </w:tc>
      </w:tr>
    </w:tbl>
    <w:p w:rsidR="00D06848" w:rsidRDefault="00D06848" w:rsidP="00B60B0C"/>
    <w:p w:rsidR="00D06848" w:rsidRDefault="00D06848" w:rsidP="00B60B0C">
      <w:r>
        <w:t>*prescribe pregabalin generically</w:t>
      </w:r>
    </w:p>
    <w:p w:rsidR="00D06848" w:rsidRDefault="00D06848" w:rsidP="00B60B0C">
      <w:r>
        <w:t xml:space="preserve">In practice, reduction regime may be adjusted depending on individual response and degree of associated risk </w:t>
      </w:r>
    </w:p>
    <w:p w:rsidR="004D076F" w:rsidRDefault="004D076F">
      <w:r>
        <w:br w:type="page"/>
      </w:r>
    </w:p>
    <w:tbl>
      <w:tblPr>
        <w:tblStyle w:val="TableGrid"/>
        <w:tblW w:w="0" w:type="auto"/>
        <w:tblLayout w:type="fixed"/>
        <w:tblLook w:val="04A0" w:firstRow="1" w:lastRow="0" w:firstColumn="1" w:lastColumn="0" w:noHBand="0" w:noVBand="1"/>
      </w:tblPr>
      <w:tblGrid>
        <w:gridCol w:w="1668"/>
        <w:gridCol w:w="7568"/>
      </w:tblGrid>
      <w:tr w:rsidR="004D076F" w:rsidRPr="0039543A" w:rsidTr="004D076F">
        <w:tc>
          <w:tcPr>
            <w:tcW w:w="9236" w:type="dxa"/>
            <w:gridSpan w:val="2"/>
            <w:shd w:val="clear" w:color="auto" w:fill="F2DBDB" w:themeFill="accent2" w:themeFillTint="33"/>
          </w:tcPr>
          <w:p w:rsidR="004D076F" w:rsidRPr="001272D0" w:rsidRDefault="002E540C" w:rsidP="00DD3A3B">
            <w:pPr>
              <w:pStyle w:val="Heading2"/>
              <w:outlineLvl w:val="1"/>
            </w:pPr>
            <w:bookmarkStart w:id="21" w:name="_Appendix_7_-"/>
            <w:bookmarkStart w:id="22" w:name="_Toc529864514"/>
            <w:bookmarkEnd w:id="21"/>
            <w:r>
              <w:lastRenderedPageBreak/>
              <w:t xml:space="preserve">Appendix </w:t>
            </w:r>
            <w:r w:rsidR="00DD3A3B">
              <w:t>5</w:t>
            </w:r>
            <w:r w:rsidR="004D076F">
              <w:t xml:space="preserve"> - </w:t>
            </w:r>
            <w:r w:rsidR="004D076F" w:rsidRPr="001272D0">
              <w:t>Principles for prescribing for patients with chronic pain</w:t>
            </w:r>
            <w:bookmarkEnd w:id="22"/>
          </w:p>
        </w:tc>
      </w:tr>
      <w:tr w:rsidR="004D076F" w:rsidRPr="0039543A" w:rsidTr="004D076F">
        <w:tc>
          <w:tcPr>
            <w:tcW w:w="1668" w:type="dxa"/>
            <w:shd w:val="clear" w:color="auto" w:fill="E5DFEC" w:themeFill="accent4" w:themeFillTint="33"/>
          </w:tcPr>
          <w:p w:rsidR="004D076F" w:rsidRPr="001272D0" w:rsidRDefault="004D076F" w:rsidP="004D076F">
            <w:pPr>
              <w:rPr>
                <w:b/>
                <w:sz w:val="24"/>
                <w:szCs w:val="24"/>
              </w:rPr>
            </w:pPr>
            <w:r w:rsidRPr="001272D0">
              <w:rPr>
                <w:b/>
                <w:sz w:val="24"/>
                <w:szCs w:val="24"/>
              </w:rPr>
              <w:t>Principle</w:t>
            </w:r>
          </w:p>
        </w:tc>
        <w:tc>
          <w:tcPr>
            <w:tcW w:w="7568" w:type="dxa"/>
            <w:shd w:val="clear" w:color="auto" w:fill="FDE9D9" w:themeFill="accent6" w:themeFillTint="33"/>
          </w:tcPr>
          <w:p w:rsidR="004D076F" w:rsidRPr="001272D0" w:rsidRDefault="004D076F" w:rsidP="004D076F">
            <w:pPr>
              <w:pStyle w:val="ListParagraph"/>
              <w:ind w:left="0"/>
              <w:rPr>
                <w:rFonts w:cstheme="minorHAnsi"/>
                <w:b/>
                <w:sz w:val="24"/>
                <w:szCs w:val="24"/>
              </w:rPr>
            </w:pPr>
            <w:r w:rsidRPr="001272D0">
              <w:rPr>
                <w:rFonts w:cstheme="minorHAnsi"/>
                <w:b/>
                <w:sz w:val="24"/>
                <w:szCs w:val="24"/>
              </w:rPr>
              <w:t>Detail</w:t>
            </w:r>
          </w:p>
        </w:tc>
      </w:tr>
      <w:tr w:rsidR="004D076F" w:rsidRPr="0039543A" w:rsidTr="004D076F">
        <w:trPr>
          <w:trHeight w:val="1439"/>
        </w:trPr>
        <w:tc>
          <w:tcPr>
            <w:tcW w:w="1668" w:type="dxa"/>
            <w:shd w:val="clear" w:color="auto" w:fill="E5DFEC" w:themeFill="accent4" w:themeFillTint="33"/>
          </w:tcPr>
          <w:p w:rsidR="004D076F" w:rsidRPr="001272D0" w:rsidRDefault="004D076F" w:rsidP="004D076F">
            <w:pPr>
              <w:rPr>
                <w:sz w:val="24"/>
                <w:szCs w:val="24"/>
              </w:rPr>
            </w:pPr>
            <w:r w:rsidRPr="001272D0">
              <w:rPr>
                <w:sz w:val="24"/>
                <w:szCs w:val="24"/>
              </w:rPr>
              <w:t>Early Assessment</w:t>
            </w:r>
          </w:p>
        </w:tc>
        <w:tc>
          <w:tcPr>
            <w:tcW w:w="7568" w:type="dxa"/>
            <w:shd w:val="clear" w:color="auto" w:fill="FDE9D9" w:themeFill="accent6" w:themeFillTint="33"/>
            <w:vAlign w:val="center"/>
          </w:tcPr>
          <w:p w:rsidR="004D076F" w:rsidRPr="001272D0" w:rsidRDefault="004D076F" w:rsidP="00791072">
            <w:pPr>
              <w:pStyle w:val="ListParagraph"/>
              <w:ind w:left="0"/>
              <w:rPr>
                <w:sz w:val="24"/>
                <w:szCs w:val="24"/>
              </w:rPr>
            </w:pPr>
            <w:r w:rsidRPr="001272D0">
              <w:rPr>
                <w:rFonts w:cstheme="minorHAnsi"/>
                <w:sz w:val="24"/>
                <w:szCs w:val="24"/>
              </w:rPr>
              <w:t xml:space="preserve">Early assessment and characterisation of pain type is </w:t>
            </w:r>
            <w:r>
              <w:rPr>
                <w:rFonts w:cstheme="minorHAnsi"/>
                <w:sz w:val="24"/>
                <w:szCs w:val="24"/>
              </w:rPr>
              <w:t>crucial in</w:t>
            </w:r>
            <w:r w:rsidRPr="001272D0">
              <w:rPr>
                <w:rFonts w:cstheme="minorHAnsi"/>
                <w:sz w:val="24"/>
                <w:szCs w:val="24"/>
              </w:rPr>
              <w:t xml:space="preserve"> guiding treatment. Many drugs that are specifically effective in neuropathic pain are ineffective in other types, and vice versa</w:t>
            </w:r>
            <w:sdt>
              <w:sdtPr>
                <w:rPr>
                  <w:rFonts w:cstheme="minorHAnsi"/>
                  <w:sz w:val="24"/>
                  <w:szCs w:val="24"/>
                </w:rPr>
                <w:id w:val="-205255316"/>
                <w:citation/>
              </w:sdtPr>
              <w:sdtEndPr/>
              <w:sdtContent>
                <w:r w:rsidR="00B3152F">
                  <w:rPr>
                    <w:rFonts w:cstheme="minorHAnsi"/>
                    <w:sz w:val="24"/>
                    <w:szCs w:val="24"/>
                  </w:rPr>
                  <w:fldChar w:fldCharType="begin"/>
                </w:r>
                <w:r w:rsidR="00791072">
                  <w:rPr>
                    <w:rFonts w:cstheme="minorHAnsi"/>
                    <w:sz w:val="24"/>
                    <w:szCs w:val="24"/>
                  </w:rPr>
                  <w:instrText xml:space="preserve"> CITATION Fin15 \l 2057 </w:instrText>
                </w:r>
                <w:r w:rsidR="00B3152F">
                  <w:rPr>
                    <w:rFonts w:cstheme="minorHAnsi"/>
                    <w:sz w:val="24"/>
                    <w:szCs w:val="24"/>
                  </w:rPr>
                  <w:fldChar w:fldCharType="separate"/>
                </w:r>
                <w:r w:rsidR="000A69B9">
                  <w:rPr>
                    <w:rFonts w:cstheme="minorHAnsi"/>
                    <w:noProof/>
                    <w:sz w:val="24"/>
                    <w:szCs w:val="24"/>
                  </w:rPr>
                  <w:t xml:space="preserve"> </w:t>
                </w:r>
                <w:r w:rsidR="000A69B9" w:rsidRPr="00860D03">
                  <w:rPr>
                    <w:rFonts w:cstheme="minorHAnsi"/>
                    <w:noProof/>
                    <w:sz w:val="24"/>
                    <w:szCs w:val="24"/>
                    <w:shd w:val="clear" w:color="auto" w:fill="BFBFBF" w:themeFill="background1" w:themeFillShade="BF"/>
                  </w:rPr>
                  <w:t>[2]</w:t>
                </w:r>
                <w:r w:rsidR="00B3152F">
                  <w:rPr>
                    <w:rFonts w:cstheme="minorHAnsi"/>
                    <w:sz w:val="24"/>
                    <w:szCs w:val="24"/>
                  </w:rPr>
                  <w:fldChar w:fldCharType="end"/>
                </w:r>
              </w:sdtContent>
            </w:sdt>
            <w:r w:rsidRPr="001272D0">
              <w:rPr>
                <w:rFonts w:cstheme="minorHAnsi"/>
                <w:sz w:val="24"/>
                <w:szCs w:val="24"/>
              </w:rPr>
              <w:t>.</w:t>
            </w:r>
            <w:r w:rsidRPr="007374EB">
              <w:rPr>
                <w:rFonts w:cstheme="minorHAnsi"/>
                <w:sz w:val="20"/>
                <w:szCs w:val="24"/>
              </w:rPr>
              <w:t xml:space="preserve"> </w:t>
            </w:r>
            <w:hyperlink r:id="rId24" w:history="1">
              <w:r w:rsidR="00791072" w:rsidRPr="00A07DA9">
                <w:rPr>
                  <w:rStyle w:val="Hyperlink"/>
                </w:rPr>
                <w:t>SIGN 136</w:t>
              </w:r>
            </w:hyperlink>
            <w:sdt>
              <w:sdtPr>
                <w:rPr>
                  <w:color w:val="0000FF" w:themeColor="hyperlink"/>
                  <w:sz w:val="24"/>
                  <w:szCs w:val="24"/>
                  <w:u w:val="single"/>
                </w:rPr>
                <w:id w:val="1235897067"/>
                <w:citation/>
              </w:sdtPr>
              <w:sdtEndPr/>
              <w:sdtContent>
                <w:r w:rsidR="00B3152F">
                  <w:rPr>
                    <w:sz w:val="24"/>
                    <w:szCs w:val="24"/>
                  </w:rPr>
                  <w:fldChar w:fldCharType="begin"/>
                </w:r>
                <w:r w:rsidR="00791072">
                  <w:rPr>
                    <w:sz w:val="24"/>
                    <w:szCs w:val="24"/>
                  </w:rPr>
                  <w:instrText xml:space="preserve"> CITATION Sco13 \l 2057 </w:instrText>
                </w:r>
                <w:r w:rsidR="00B3152F">
                  <w:rPr>
                    <w:sz w:val="24"/>
                    <w:szCs w:val="24"/>
                  </w:rPr>
                  <w:fldChar w:fldCharType="separate"/>
                </w:r>
                <w:r w:rsidR="000A69B9">
                  <w:rPr>
                    <w:noProof/>
                    <w:sz w:val="24"/>
                    <w:szCs w:val="24"/>
                  </w:rPr>
                  <w:t xml:space="preserve"> </w:t>
                </w:r>
                <w:r w:rsidR="000A69B9" w:rsidRPr="00860D03">
                  <w:rPr>
                    <w:noProof/>
                    <w:sz w:val="24"/>
                    <w:szCs w:val="24"/>
                    <w:shd w:val="clear" w:color="auto" w:fill="BFBFBF" w:themeFill="background1" w:themeFillShade="BF"/>
                  </w:rPr>
                  <w:t>[3]</w:t>
                </w:r>
                <w:r w:rsidR="00B3152F">
                  <w:rPr>
                    <w:sz w:val="24"/>
                    <w:szCs w:val="24"/>
                  </w:rPr>
                  <w:fldChar w:fldCharType="end"/>
                </w:r>
              </w:sdtContent>
            </w:sdt>
            <w:r w:rsidRPr="001272D0">
              <w:rPr>
                <w:sz w:val="24"/>
                <w:szCs w:val="24"/>
              </w:rPr>
              <w:t xml:space="preserve"> pathways are recommended for assessment and management. </w:t>
            </w:r>
            <w:r>
              <w:rPr>
                <w:rFonts w:cstheme="minorHAnsi"/>
                <w:sz w:val="24"/>
                <w:szCs w:val="24"/>
              </w:rPr>
              <w:t>Consider</w:t>
            </w:r>
            <w:r w:rsidRPr="001272D0">
              <w:rPr>
                <w:rFonts w:cstheme="minorHAnsi"/>
                <w:sz w:val="24"/>
                <w:szCs w:val="24"/>
              </w:rPr>
              <w:t xml:space="preserve"> high risk patient groups and patient risk factors, including misuse/abuse potential.</w:t>
            </w:r>
          </w:p>
        </w:tc>
      </w:tr>
      <w:tr w:rsidR="004D076F" w:rsidRPr="0039543A" w:rsidTr="004D076F">
        <w:trPr>
          <w:trHeight w:val="1828"/>
        </w:trPr>
        <w:tc>
          <w:tcPr>
            <w:tcW w:w="1668" w:type="dxa"/>
            <w:shd w:val="clear" w:color="auto" w:fill="E5DFEC" w:themeFill="accent4" w:themeFillTint="33"/>
          </w:tcPr>
          <w:p w:rsidR="004D076F" w:rsidRPr="001272D0" w:rsidRDefault="004D076F" w:rsidP="004D076F">
            <w:pPr>
              <w:rPr>
                <w:sz w:val="24"/>
                <w:szCs w:val="24"/>
              </w:rPr>
            </w:pPr>
            <w:r w:rsidRPr="001272D0">
              <w:rPr>
                <w:sz w:val="24"/>
                <w:szCs w:val="24"/>
              </w:rPr>
              <w:t>Planning and Patient Understanding</w:t>
            </w:r>
          </w:p>
        </w:tc>
        <w:tc>
          <w:tcPr>
            <w:tcW w:w="7568" w:type="dxa"/>
            <w:shd w:val="clear" w:color="auto" w:fill="FDE9D9" w:themeFill="accent6" w:themeFillTint="33"/>
            <w:vAlign w:val="center"/>
          </w:tcPr>
          <w:p w:rsidR="004D076F" w:rsidRPr="001272D0" w:rsidRDefault="004D076F" w:rsidP="004D076F">
            <w:pPr>
              <w:pStyle w:val="ListParagraph"/>
              <w:ind w:left="0"/>
              <w:rPr>
                <w:sz w:val="24"/>
                <w:szCs w:val="24"/>
              </w:rPr>
            </w:pPr>
            <w:r w:rsidRPr="001272D0">
              <w:rPr>
                <w:rFonts w:cstheme="minorHAnsi"/>
                <w:sz w:val="24"/>
                <w:szCs w:val="24"/>
              </w:rPr>
              <w:t xml:space="preserve">It is important that patients understand their condition and have appropriate expectations. Medication should be considered as </w:t>
            </w:r>
            <w:r w:rsidRPr="001272D0">
              <w:rPr>
                <w:rFonts w:cstheme="minorHAnsi"/>
                <w:b/>
                <w:sz w:val="24"/>
                <w:szCs w:val="24"/>
              </w:rPr>
              <w:t>part</w:t>
            </w:r>
            <w:r w:rsidRPr="001272D0">
              <w:rPr>
                <w:rFonts w:cstheme="minorHAnsi"/>
                <w:sz w:val="24"/>
                <w:szCs w:val="24"/>
              </w:rPr>
              <w:t xml:space="preserve"> of the management of chronic pain: patients should understand that medication will not “cure” chronic pain and they need to engage in self-management, for example the </w:t>
            </w:r>
            <w:hyperlink r:id="rId25" w:history="1">
              <w:r w:rsidRPr="001272D0">
                <w:rPr>
                  <w:rStyle w:val="Hyperlink"/>
                  <w:rFonts w:cstheme="minorHAnsi"/>
                  <w:sz w:val="24"/>
                  <w:szCs w:val="24"/>
                </w:rPr>
                <w:t>pain toolkit</w:t>
              </w:r>
            </w:hyperlink>
            <w:sdt>
              <w:sdtPr>
                <w:rPr>
                  <w:rStyle w:val="Hyperlink"/>
                  <w:rFonts w:cstheme="minorHAnsi"/>
                  <w:sz w:val="24"/>
                  <w:szCs w:val="24"/>
                </w:rPr>
                <w:id w:val="1858161144"/>
                <w:citation/>
              </w:sdtPr>
              <w:sdtEndPr>
                <w:rPr>
                  <w:rStyle w:val="Hyperlink"/>
                </w:rPr>
              </w:sdtEndPr>
              <w:sdtContent>
                <w:r w:rsidR="00B3152F">
                  <w:rPr>
                    <w:rStyle w:val="Hyperlink"/>
                    <w:rFonts w:cstheme="minorHAnsi"/>
                    <w:sz w:val="24"/>
                    <w:szCs w:val="24"/>
                  </w:rPr>
                  <w:fldChar w:fldCharType="begin"/>
                </w:r>
                <w:r w:rsidR="000B06C4">
                  <w:rPr>
                    <w:rStyle w:val="Hyperlink"/>
                    <w:rFonts w:cstheme="minorHAnsi"/>
                    <w:sz w:val="24"/>
                    <w:szCs w:val="24"/>
                  </w:rPr>
                  <w:instrText xml:space="preserve"> CITATION Moo18 \l 2057 </w:instrText>
                </w:r>
                <w:r w:rsidR="00B3152F">
                  <w:rPr>
                    <w:rStyle w:val="Hyperlink"/>
                    <w:rFonts w:cstheme="minorHAnsi"/>
                    <w:sz w:val="24"/>
                    <w:szCs w:val="24"/>
                  </w:rPr>
                  <w:fldChar w:fldCharType="separate"/>
                </w:r>
                <w:r w:rsidR="000A69B9">
                  <w:rPr>
                    <w:rStyle w:val="Hyperlink"/>
                    <w:rFonts w:cstheme="minorHAnsi"/>
                    <w:noProof/>
                    <w:sz w:val="24"/>
                    <w:szCs w:val="24"/>
                  </w:rPr>
                  <w:t xml:space="preserve"> </w:t>
                </w:r>
                <w:r w:rsidR="000A69B9" w:rsidRPr="00860D03">
                  <w:rPr>
                    <w:rFonts w:cstheme="minorHAnsi"/>
                    <w:noProof/>
                    <w:sz w:val="24"/>
                    <w:szCs w:val="24"/>
                    <w:shd w:val="clear" w:color="auto" w:fill="BFBFBF" w:themeFill="background1" w:themeFillShade="BF"/>
                  </w:rPr>
                  <w:t>[18]</w:t>
                </w:r>
                <w:r w:rsidR="00B3152F">
                  <w:rPr>
                    <w:rStyle w:val="Hyperlink"/>
                    <w:rFonts w:cstheme="minorHAnsi"/>
                    <w:sz w:val="24"/>
                    <w:szCs w:val="24"/>
                  </w:rPr>
                  <w:fldChar w:fldCharType="end"/>
                </w:r>
              </w:sdtContent>
            </w:sdt>
            <w:r w:rsidRPr="001272D0">
              <w:rPr>
                <w:rFonts w:cstheme="minorHAnsi"/>
                <w:sz w:val="24"/>
                <w:szCs w:val="24"/>
              </w:rPr>
              <w:t xml:space="preserve">. </w:t>
            </w:r>
            <w:r w:rsidRPr="001272D0">
              <w:rPr>
                <w:sz w:val="24"/>
                <w:szCs w:val="24"/>
              </w:rPr>
              <w:t>It is vital the short and long term treatment plan, and any changes are discussed with and agreed by the patient along with arrangements for repeat prescribing.</w:t>
            </w:r>
          </w:p>
        </w:tc>
      </w:tr>
      <w:tr w:rsidR="004D076F" w:rsidRPr="0039543A" w:rsidTr="004D076F">
        <w:trPr>
          <w:trHeight w:val="972"/>
        </w:trPr>
        <w:tc>
          <w:tcPr>
            <w:tcW w:w="1668" w:type="dxa"/>
            <w:shd w:val="clear" w:color="auto" w:fill="E5DFEC" w:themeFill="accent4" w:themeFillTint="33"/>
          </w:tcPr>
          <w:p w:rsidR="004D076F" w:rsidRPr="001272D0" w:rsidRDefault="004D076F" w:rsidP="004D076F">
            <w:pPr>
              <w:rPr>
                <w:sz w:val="24"/>
                <w:szCs w:val="24"/>
              </w:rPr>
            </w:pPr>
            <w:r w:rsidRPr="001272D0">
              <w:rPr>
                <w:sz w:val="24"/>
                <w:szCs w:val="24"/>
              </w:rPr>
              <w:t>Realistic Aims</w:t>
            </w:r>
          </w:p>
        </w:tc>
        <w:tc>
          <w:tcPr>
            <w:tcW w:w="7568" w:type="dxa"/>
            <w:shd w:val="clear" w:color="auto" w:fill="FDE9D9" w:themeFill="accent6" w:themeFillTint="33"/>
            <w:vAlign w:val="center"/>
          </w:tcPr>
          <w:p w:rsidR="004D076F" w:rsidRPr="001272D0" w:rsidRDefault="004D076F" w:rsidP="004D076F">
            <w:pPr>
              <w:rPr>
                <w:rFonts w:cstheme="minorHAnsi"/>
                <w:i/>
                <w:sz w:val="24"/>
                <w:szCs w:val="24"/>
                <w:lang w:val="en-US"/>
              </w:rPr>
            </w:pPr>
            <w:r w:rsidRPr="001272D0">
              <w:rPr>
                <w:rFonts w:cstheme="minorHAnsi"/>
                <w:sz w:val="24"/>
                <w:szCs w:val="24"/>
              </w:rPr>
              <w:t>It is important to discuss patients’ aims for pharmacological treatment. Realistic aims may include pain reduction (</w:t>
            </w:r>
            <w:r w:rsidRPr="001272D0">
              <w:rPr>
                <w:sz w:val="24"/>
                <w:szCs w:val="24"/>
              </w:rPr>
              <w:sym w:font="Symbol" w:char="F0B3"/>
            </w:r>
            <w:r w:rsidRPr="001272D0">
              <w:rPr>
                <w:rFonts w:cstheme="minorHAnsi"/>
                <w:sz w:val="24"/>
                <w:szCs w:val="24"/>
              </w:rPr>
              <w:t xml:space="preserve">30%) and/or functional goal improvement. Stepping down should be discussed as part of initiation. Patient understanding can be explored using </w:t>
            </w:r>
            <w:hyperlink r:id="rId26" w:history="1">
              <w:r w:rsidRPr="001272D0">
                <w:rPr>
                  <w:rStyle w:val="Hyperlink"/>
                  <w:rFonts w:cstheme="minorHAnsi"/>
                  <w:i/>
                  <w:sz w:val="24"/>
                  <w:szCs w:val="24"/>
                </w:rPr>
                <w:t>teach-back</w:t>
              </w:r>
            </w:hyperlink>
            <w:sdt>
              <w:sdtPr>
                <w:rPr>
                  <w:rStyle w:val="Hyperlink"/>
                  <w:rFonts w:cstheme="minorHAnsi"/>
                  <w:i/>
                  <w:sz w:val="24"/>
                  <w:szCs w:val="24"/>
                </w:rPr>
                <w:id w:val="-2071494990"/>
                <w:citation/>
              </w:sdtPr>
              <w:sdtEndPr>
                <w:rPr>
                  <w:rStyle w:val="Hyperlink"/>
                </w:rPr>
              </w:sdtEndPr>
              <w:sdtContent>
                <w:r w:rsidR="00B3152F">
                  <w:rPr>
                    <w:rStyle w:val="Hyperlink"/>
                    <w:rFonts w:cstheme="minorHAnsi"/>
                    <w:i/>
                    <w:sz w:val="24"/>
                    <w:szCs w:val="24"/>
                  </w:rPr>
                  <w:fldChar w:fldCharType="begin"/>
                </w:r>
                <w:r w:rsidR="000B06C4">
                  <w:rPr>
                    <w:rStyle w:val="Hyperlink"/>
                    <w:rFonts w:cstheme="minorHAnsi"/>
                    <w:i/>
                    <w:sz w:val="24"/>
                    <w:szCs w:val="24"/>
                  </w:rPr>
                  <w:instrText xml:space="preserve"> CITATION Sco14 \l 2057 </w:instrText>
                </w:r>
                <w:r w:rsidR="00B3152F">
                  <w:rPr>
                    <w:rStyle w:val="Hyperlink"/>
                    <w:rFonts w:cstheme="minorHAnsi"/>
                    <w:i/>
                    <w:sz w:val="24"/>
                    <w:szCs w:val="24"/>
                  </w:rPr>
                  <w:fldChar w:fldCharType="separate"/>
                </w:r>
                <w:r w:rsidR="000A69B9">
                  <w:rPr>
                    <w:rStyle w:val="Hyperlink"/>
                    <w:rFonts w:cstheme="minorHAnsi"/>
                    <w:i/>
                    <w:noProof/>
                    <w:sz w:val="24"/>
                    <w:szCs w:val="24"/>
                  </w:rPr>
                  <w:t xml:space="preserve"> </w:t>
                </w:r>
                <w:r w:rsidR="000A69B9" w:rsidRPr="00860D03">
                  <w:rPr>
                    <w:rFonts w:cstheme="minorHAnsi"/>
                    <w:noProof/>
                    <w:sz w:val="24"/>
                    <w:szCs w:val="24"/>
                    <w:shd w:val="clear" w:color="auto" w:fill="BFBFBF" w:themeFill="background1" w:themeFillShade="BF"/>
                  </w:rPr>
                  <w:t>[19]</w:t>
                </w:r>
                <w:r w:rsidR="00B3152F">
                  <w:rPr>
                    <w:rStyle w:val="Hyperlink"/>
                    <w:rFonts w:cstheme="minorHAnsi"/>
                    <w:i/>
                    <w:sz w:val="24"/>
                    <w:szCs w:val="24"/>
                  </w:rPr>
                  <w:fldChar w:fldCharType="end"/>
                </w:r>
              </w:sdtContent>
            </w:sdt>
            <w:r w:rsidRPr="001272D0">
              <w:rPr>
                <w:rFonts w:cstheme="minorHAnsi"/>
                <w:i/>
                <w:sz w:val="24"/>
                <w:szCs w:val="24"/>
              </w:rPr>
              <w:t xml:space="preserve">. </w:t>
            </w:r>
          </w:p>
        </w:tc>
      </w:tr>
      <w:tr w:rsidR="004D076F" w:rsidRPr="0039543A" w:rsidTr="004D076F">
        <w:trPr>
          <w:trHeight w:val="956"/>
        </w:trPr>
        <w:tc>
          <w:tcPr>
            <w:tcW w:w="1668" w:type="dxa"/>
            <w:shd w:val="clear" w:color="auto" w:fill="E5DFEC" w:themeFill="accent4" w:themeFillTint="33"/>
          </w:tcPr>
          <w:p w:rsidR="004D076F" w:rsidRPr="001272D0" w:rsidRDefault="004D076F" w:rsidP="004D076F">
            <w:pPr>
              <w:rPr>
                <w:sz w:val="24"/>
                <w:szCs w:val="24"/>
              </w:rPr>
            </w:pPr>
            <w:r w:rsidRPr="001272D0">
              <w:rPr>
                <w:sz w:val="24"/>
                <w:szCs w:val="24"/>
              </w:rPr>
              <w:t>Record Consumption</w:t>
            </w:r>
          </w:p>
        </w:tc>
        <w:tc>
          <w:tcPr>
            <w:tcW w:w="7568" w:type="dxa"/>
            <w:shd w:val="clear" w:color="auto" w:fill="FDE9D9" w:themeFill="accent6" w:themeFillTint="33"/>
            <w:vAlign w:val="center"/>
          </w:tcPr>
          <w:p w:rsidR="004D076F" w:rsidRPr="001272D0" w:rsidRDefault="004D076F" w:rsidP="00791072">
            <w:pPr>
              <w:rPr>
                <w:rFonts w:cstheme="minorHAnsi"/>
                <w:sz w:val="24"/>
                <w:szCs w:val="24"/>
              </w:rPr>
            </w:pPr>
            <w:r w:rsidRPr="001272D0">
              <w:rPr>
                <w:rFonts w:cstheme="minorHAnsi"/>
                <w:sz w:val="24"/>
                <w:szCs w:val="24"/>
              </w:rPr>
              <w:t xml:space="preserve">Record </w:t>
            </w:r>
            <w:r w:rsidRPr="001272D0">
              <w:rPr>
                <w:rFonts w:cstheme="minorHAnsi"/>
                <w:b/>
                <w:sz w:val="24"/>
                <w:szCs w:val="24"/>
              </w:rPr>
              <w:t>all</w:t>
            </w:r>
            <w:r w:rsidRPr="001272D0">
              <w:rPr>
                <w:rFonts w:cstheme="minorHAnsi"/>
                <w:sz w:val="24"/>
                <w:szCs w:val="24"/>
              </w:rPr>
              <w:t xml:space="preserve"> analgesic consumption including OTC medication and identify complementary therapies. Recording of the Read code 1M52 is </w:t>
            </w:r>
            <w:r w:rsidRPr="001272D0">
              <w:rPr>
                <w:rFonts w:cstheme="minorHAnsi"/>
                <w:b/>
                <w:sz w:val="24"/>
                <w:szCs w:val="24"/>
              </w:rPr>
              <w:t>strongly recommended</w:t>
            </w:r>
            <w:r w:rsidRPr="001272D0">
              <w:rPr>
                <w:rFonts w:cstheme="minorHAnsi"/>
                <w:sz w:val="24"/>
                <w:szCs w:val="24"/>
              </w:rPr>
              <w:t xml:space="preserve"> for audit</w:t>
            </w:r>
            <w:r>
              <w:rPr>
                <w:rFonts w:cstheme="minorHAnsi"/>
                <w:sz w:val="24"/>
                <w:szCs w:val="24"/>
              </w:rPr>
              <w:t>,</w:t>
            </w:r>
            <w:r w:rsidRPr="001272D0">
              <w:rPr>
                <w:rFonts w:cstheme="minorHAnsi"/>
                <w:sz w:val="24"/>
                <w:szCs w:val="24"/>
              </w:rPr>
              <w:t xml:space="preserve"> review and quality improvement</w:t>
            </w:r>
            <w:sdt>
              <w:sdtPr>
                <w:rPr>
                  <w:rFonts w:cstheme="minorHAnsi"/>
                  <w:sz w:val="24"/>
                  <w:szCs w:val="24"/>
                </w:rPr>
                <w:id w:val="1012960147"/>
                <w:citation/>
              </w:sdtPr>
              <w:sdtEndPr/>
              <w:sdtContent>
                <w:r w:rsidR="00B3152F">
                  <w:rPr>
                    <w:rFonts w:cstheme="minorHAnsi"/>
                    <w:sz w:val="24"/>
                    <w:szCs w:val="24"/>
                  </w:rPr>
                  <w:fldChar w:fldCharType="begin"/>
                </w:r>
                <w:r w:rsidR="00791072">
                  <w:rPr>
                    <w:rFonts w:cstheme="minorHAnsi"/>
                    <w:sz w:val="24"/>
                    <w:szCs w:val="24"/>
                  </w:rPr>
                  <w:instrText xml:space="preserve">CITATION Smi16 \l 2057 </w:instrText>
                </w:r>
                <w:r w:rsidR="00B3152F">
                  <w:rPr>
                    <w:rFonts w:cstheme="minorHAnsi"/>
                    <w:sz w:val="24"/>
                    <w:szCs w:val="24"/>
                  </w:rPr>
                  <w:fldChar w:fldCharType="separate"/>
                </w:r>
                <w:r w:rsidR="000A69B9">
                  <w:rPr>
                    <w:rFonts w:cstheme="minorHAnsi"/>
                    <w:noProof/>
                    <w:sz w:val="24"/>
                    <w:szCs w:val="24"/>
                  </w:rPr>
                  <w:t xml:space="preserve"> </w:t>
                </w:r>
                <w:r w:rsidR="000A69B9" w:rsidRPr="00860D03">
                  <w:rPr>
                    <w:rFonts w:cstheme="minorHAnsi"/>
                    <w:noProof/>
                    <w:sz w:val="24"/>
                    <w:szCs w:val="24"/>
                    <w:shd w:val="clear" w:color="auto" w:fill="BFBFBF" w:themeFill="background1" w:themeFillShade="BF"/>
                  </w:rPr>
                  <w:t>[20]</w:t>
                </w:r>
                <w:r w:rsidR="00B3152F">
                  <w:rPr>
                    <w:rFonts w:cstheme="minorHAnsi"/>
                    <w:sz w:val="24"/>
                    <w:szCs w:val="24"/>
                  </w:rPr>
                  <w:fldChar w:fldCharType="end"/>
                </w:r>
              </w:sdtContent>
            </w:sdt>
            <w:r w:rsidRPr="001272D0">
              <w:rPr>
                <w:rFonts w:cstheme="minorHAnsi"/>
                <w:sz w:val="24"/>
                <w:szCs w:val="24"/>
              </w:rPr>
              <w:t>.</w:t>
            </w:r>
          </w:p>
        </w:tc>
      </w:tr>
      <w:tr w:rsidR="004D076F" w:rsidRPr="0039543A" w:rsidTr="004D076F">
        <w:trPr>
          <w:trHeight w:val="1225"/>
        </w:trPr>
        <w:tc>
          <w:tcPr>
            <w:tcW w:w="1668" w:type="dxa"/>
            <w:shd w:val="clear" w:color="auto" w:fill="E5DFEC" w:themeFill="accent4" w:themeFillTint="33"/>
          </w:tcPr>
          <w:p w:rsidR="004D076F" w:rsidRPr="001272D0" w:rsidRDefault="004D076F" w:rsidP="004D076F">
            <w:pPr>
              <w:rPr>
                <w:sz w:val="24"/>
                <w:szCs w:val="24"/>
              </w:rPr>
            </w:pPr>
            <w:r w:rsidRPr="001272D0">
              <w:rPr>
                <w:sz w:val="24"/>
                <w:szCs w:val="24"/>
              </w:rPr>
              <w:t>Stepped Approach</w:t>
            </w:r>
          </w:p>
        </w:tc>
        <w:tc>
          <w:tcPr>
            <w:tcW w:w="7568" w:type="dxa"/>
            <w:shd w:val="clear" w:color="auto" w:fill="FDE9D9" w:themeFill="accent6" w:themeFillTint="33"/>
            <w:vAlign w:val="center"/>
          </w:tcPr>
          <w:p w:rsidR="004D076F" w:rsidRPr="001272D0" w:rsidRDefault="004D076F" w:rsidP="004D076F">
            <w:pPr>
              <w:rPr>
                <w:rFonts w:cstheme="minorHAnsi"/>
                <w:sz w:val="24"/>
                <w:szCs w:val="24"/>
              </w:rPr>
            </w:pPr>
            <w:r w:rsidRPr="001272D0">
              <w:rPr>
                <w:rFonts w:cstheme="minorHAnsi"/>
                <w:sz w:val="24"/>
                <w:szCs w:val="24"/>
              </w:rPr>
              <w:t xml:space="preserve">Apply a stepped approach to pain management and review regularly. </w:t>
            </w:r>
            <w:r>
              <w:rPr>
                <w:rFonts w:cstheme="minorHAnsi"/>
                <w:sz w:val="24"/>
                <w:szCs w:val="24"/>
              </w:rPr>
              <w:t>R</w:t>
            </w:r>
            <w:r w:rsidRPr="001272D0">
              <w:rPr>
                <w:rFonts w:cstheme="minorHAnsi"/>
                <w:sz w:val="24"/>
                <w:szCs w:val="24"/>
              </w:rPr>
              <w:t xml:space="preserve">emember that there is both a </w:t>
            </w:r>
            <w:r w:rsidRPr="001272D0">
              <w:rPr>
                <w:rFonts w:cstheme="minorHAnsi"/>
                <w:i/>
                <w:sz w:val="24"/>
                <w:szCs w:val="24"/>
              </w:rPr>
              <w:t>step up</w:t>
            </w:r>
            <w:r w:rsidRPr="001272D0">
              <w:rPr>
                <w:rFonts w:cstheme="minorHAnsi"/>
                <w:sz w:val="24"/>
                <w:szCs w:val="24"/>
              </w:rPr>
              <w:t xml:space="preserve"> </w:t>
            </w:r>
            <w:r w:rsidRPr="001272D0">
              <w:rPr>
                <w:rFonts w:cstheme="minorHAnsi"/>
                <w:b/>
                <w:sz w:val="24"/>
                <w:szCs w:val="24"/>
              </w:rPr>
              <w:t xml:space="preserve">and </w:t>
            </w:r>
            <w:r w:rsidRPr="001272D0">
              <w:rPr>
                <w:rFonts w:cstheme="minorHAnsi"/>
                <w:i/>
                <w:sz w:val="24"/>
                <w:szCs w:val="24"/>
              </w:rPr>
              <w:t>step down</w:t>
            </w:r>
            <w:r w:rsidRPr="001272D0">
              <w:rPr>
                <w:rFonts w:cstheme="minorHAnsi"/>
                <w:sz w:val="24"/>
                <w:szCs w:val="24"/>
              </w:rPr>
              <w:t xml:space="preserve"> approach and that patients should be empowered to safely reduce their medications where appropriate. NSAIDs </w:t>
            </w:r>
            <w:r>
              <w:rPr>
                <w:rFonts w:cstheme="minorHAnsi"/>
                <w:sz w:val="24"/>
                <w:szCs w:val="24"/>
              </w:rPr>
              <w:t xml:space="preserve">(including topical) </w:t>
            </w:r>
            <w:r w:rsidRPr="001272D0">
              <w:rPr>
                <w:rFonts w:cstheme="minorHAnsi"/>
                <w:sz w:val="24"/>
                <w:szCs w:val="24"/>
              </w:rPr>
              <w:t xml:space="preserve">and adjuvants can be considered at each step. </w:t>
            </w:r>
          </w:p>
        </w:tc>
      </w:tr>
      <w:tr w:rsidR="004D076F" w:rsidRPr="0039543A" w:rsidTr="004D076F">
        <w:trPr>
          <w:trHeight w:val="1748"/>
        </w:trPr>
        <w:tc>
          <w:tcPr>
            <w:tcW w:w="1668" w:type="dxa"/>
            <w:shd w:val="clear" w:color="auto" w:fill="E5DFEC" w:themeFill="accent4" w:themeFillTint="33"/>
          </w:tcPr>
          <w:p w:rsidR="004D076F" w:rsidRPr="001272D0" w:rsidRDefault="004D076F" w:rsidP="004D076F">
            <w:pPr>
              <w:rPr>
                <w:sz w:val="24"/>
                <w:szCs w:val="24"/>
              </w:rPr>
            </w:pPr>
            <w:r w:rsidRPr="001272D0">
              <w:rPr>
                <w:sz w:val="24"/>
                <w:szCs w:val="24"/>
              </w:rPr>
              <w:t>Early Review</w:t>
            </w:r>
          </w:p>
        </w:tc>
        <w:tc>
          <w:tcPr>
            <w:tcW w:w="7568" w:type="dxa"/>
            <w:shd w:val="clear" w:color="auto" w:fill="FDE9D9" w:themeFill="accent6" w:themeFillTint="33"/>
            <w:vAlign w:val="center"/>
          </w:tcPr>
          <w:p w:rsidR="004D076F" w:rsidRPr="001272D0" w:rsidRDefault="004D076F" w:rsidP="00791072">
            <w:pPr>
              <w:pStyle w:val="NoSpacing"/>
              <w:rPr>
                <w:sz w:val="24"/>
                <w:szCs w:val="24"/>
              </w:rPr>
            </w:pPr>
            <w:r w:rsidRPr="001272D0">
              <w:rPr>
                <w:sz w:val="24"/>
                <w:szCs w:val="24"/>
                <w:lang w:val="en-US"/>
              </w:rPr>
              <w:t>Any drug initiated for chronic pain should be subject to early, frequent and recorded review with the patient. It should be titrated up to a dose which balances maximum clinical efficacy with minimal risk, and gradually stopped if found to be ineffective or if adverse effects outweigh benefits. This particularly applies to medicines with common serious adverse effects or abuse potential, and/or that are expensive to prescribe</w:t>
            </w:r>
            <w:sdt>
              <w:sdtPr>
                <w:rPr>
                  <w:sz w:val="24"/>
                  <w:szCs w:val="24"/>
                  <w:lang w:val="en-US"/>
                </w:rPr>
                <w:id w:val="1359464087"/>
                <w:citation/>
              </w:sdtPr>
              <w:sdtEndPr/>
              <w:sdtContent>
                <w:r w:rsidR="00B3152F">
                  <w:rPr>
                    <w:sz w:val="24"/>
                    <w:szCs w:val="24"/>
                    <w:lang w:val="en-US"/>
                  </w:rPr>
                  <w:fldChar w:fldCharType="begin"/>
                </w:r>
                <w:r w:rsidR="00791072">
                  <w:rPr>
                    <w:sz w:val="24"/>
                    <w:szCs w:val="24"/>
                  </w:rPr>
                  <w:instrText xml:space="preserve">CITATION Sco18 \l 2057 </w:instrText>
                </w:r>
                <w:r w:rsidR="00B3152F">
                  <w:rPr>
                    <w:sz w:val="24"/>
                    <w:szCs w:val="24"/>
                    <w:lang w:val="en-US"/>
                  </w:rPr>
                  <w:fldChar w:fldCharType="separate"/>
                </w:r>
                <w:r w:rsidR="000A69B9">
                  <w:rPr>
                    <w:noProof/>
                    <w:sz w:val="24"/>
                    <w:szCs w:val="24"/>
                  </w:rPr>
                  <w:t xml:space="preserve"> </w:t>
                </w:r>
                <w:r w:rsidR="000A69B9" w:rsidRPr="00860D03">
                  <w:rPr>
                    <w:noProof/>
                    <w:sz w:val="24"/>
                    <w:szCs w:val="24"/>
                    <w:shd w:val="clear" w:color="auto" w:fill="BFBFBF" w:themeFill="background1" w:themeFillShade="BF"/>
                  </w:rPr>
                  <w:t>[1]</w:t>
                </w:r>
                <w:r w:rsidR="00B3152F">
                  <w:rPr>
                    <w:sz w:val="24"/>
                    <w:szCs w:val="24"/>
                    <w:lang w:val="en-US"/>
                  </w:rPr>
                  <w:fldChar w:fldCharType="end"/>
                </w:r>
              </w:sdtContent>
            </w:sdt>
            <w:r w:rsidRPr="001272D0">
              <w:rPr>
                <w:sz w:val="24"/>
                <w:szCs w:val="24"/>
                <w:lang w:val="en-US"/>
              </w:rPr>
              <w:t>.</w:t>
            </w:r>
          </w:p>
        </w:tc>
      </w:tr>
      <w:tr w:rsidR="004D076F" w:rsidRPr="0039543A" w:rsidTr="004D076F">
        <w:trPr>
          <w:trHeight w:val="1631"/>
        </w:trPr>
        <w:tc>
          <w:tcPr>
            <w:tcW w:w="1668" w:type="dxa"/>
            <w:shd w:val="clear" w:color="auto" w:fill="E5DFEC" w:themeFill="accent4" w:themeFillTint="33"/>
          </w:tcPr>
          <w:p w:rsidR="004D076F" w:rsidRPr="001272D0" w:rsidRDefault="004D076F" w:rsidP="004D076F">
            <w:pPr>
              <w:rPr>
                <w:sz w:val="24"/>
                <w:szCs w:val="24"/>
              </w:rPr>
            </w:pPr>
            <w:r w:rsidRPr="001272D0">
              <w:rPr>
                <w:sz w:val="24"/>
                <w:szCs w:val="24"/>
              </w:rPr>
              <w:t>Ongoing Review</w:t>
            </w:r>
          </w:p>
        </w:tc>
        <w:tc>
          <w:tcPr>
            <w:tcW w:w="7568" w:type="dxa"/>
            <w:shd w:val="clear" w:color="auto" w:fill="FDE9D9" w:themeFill="accent6" w:themeFillTint="33"/>
            <w:vAlign w:val="center"/>
          </w:tcPr>
          <w:p w:rsidR="004D076F" w:rsidRPr="001272D0" w:rsidRDefault="004D076F" w:rsidP="004D076F">
            <w:pPr>
              <w:pStyle w:val="NoSpacing"/>
              <w:rPr>
                <w:sz w:val="24"/>
                <w:szCs w:val="24"/>
                <w:lang w:val="en-US"/>
              </w:rPr>
            </w:pPr>
            <w:r w:rsidRPr="001272D0">
              <w:rPr>
                <w:sz w:val="24"/>
                <w:szCs w:val="24"/>
                <w:lang w:val="en-US"/>
              </w:rPr>
              <w:t>Once the dose is stable and effectiveness has been established, ongoing recorded review should occur at least every six to twelve months - more frequently if needed</w:t>
            </w:r>
            <w:r>
              <w:rPr>
                <w:sz w:val="24"/>
                <w:szCs w:val="24"/>
                <w:lang w:val="en-US"/>
              </w:rPr>
              <w:t>, for example due to flare-ups</w:t>
            </w:r>
            <w:r w:rsidRPr="001272D0">
              <w:rPr>
                <w:sz w:val="24"/>
                <w:szCs w:val="24"/>
                <w:lang w:val="en-US"/>
              </w:rPr>
              <w:t>. This review should: confirm ongoing need for and effectiveness of medication; screen for side effects; and adjust dose or discontinue prescription as appropriate.</w:t>
            </w:r>
            <w:r w:rsidRPr="001272D0">
              <w:rPr>
                <w:position w:val="13"/>
                <w:sz w:val="24"/>
                <w:szCs w:val="24"/>
                <w:lang w:val="en-US"/>
              </w:rPr>
              <w:t xml:space="preserve"> </w:t>
            </w:r>
            <w:r w:rsidRPr="001272D0">
              <w:rPr>
                <w:sz w:val="24"/>
                <w:szCs w:val="24"/>
                <w:lang w:val="en-US"/>
              </w:rPr>
              <w:t xml:space="preserve">A holistic </w:t>
            </w:r>
            <w:hyperlink r:id="rId27" w:history="1">
              <w:r w:rsidRPr="009827DA">
                <w:rPr>
                  <w:rStyle w:val="Hyperlink"/>
                  <w:sz w:val="24"/>
                  <w:szCs w:val="24"/>
                  <w:lang w:val="en-US"/>
                </w:rPr>
                <w:t>Polypharmacy</w:t>
              </w:r>
            </w:hyperlink>
            <w:sdt>
              <w:sdtPr>
                <w:rPr>
                  <w:rStyle w:val="Hyperlink"/>
                  <w:sz w:val="24"/>
                  <w:szCs w:val="24"/>
                  <w:lang w:val="en-US"/>
                </w:rPr>
                <w:id w:val="833497425"/>
                <w:citation/>
              </w:sdtPr>
              <w:sdtEndPr>
                <w:rPr>
                  <w:rStyle w:val="Hyperlink"/>
                </w:rPr>
              </w:sdtEndPr>
              <w:sdtContent>
                <w:r w:rsidR="00B3152F">
                  <w:rPr>
                    <w:rStyle w:val="Hyperlink"/>
                    <w:sz w:val="24"/>
                    <w:szCs w:val="24"/>
                    <w:lang w:val="en-US"/>
                  </w:rPr>
                  <w:fldChar w:fldCharType="begin"/>
                </w:r>
                <w:r w:rsidR="00995487">
                  <w:rPr>
                    <w:rStyle w:val="Hyperlink"/>
                    <w:sz w:val="24"/>
                    <w:szCs w:val="24"/>
                  </w:rPr>
                  <w:instrText xml:space="preserve"> CITATION Eff18 \l 2057 </w:instrText>
                </w:r>
                <w:r w:rsidR="00B3152F">
                  <w:rPr>
                    <w:rStyle w:val="Hyperlink"/>
                    <w:sz w:val="24"/>
                    <w:szCs w:val="24"/>
                    <w:lang w:val="en-US"/>
                  </w:rPr>
                  <w:fldChar w:fldCharType="separate"/>
                </w:r>
                <w:r w:rsidR="000A69B9">
                  <w:rPr>
                    <w:rStyle w:val="Hyperlink"/>
                    <w:noProof/>
                    <w:sz w:val="24"/>
                    <w:szCs w:val="24"/>
                  </w:rPr>
                  <w:t xml:space="preserve"> </w:t>
                </w:r>
                <w:r w:rsidR="000A69B9" w:rsidRPr="00860D03">
                  <w:rPr>
                    <w:noProof/>
                    <w:sz w:val="24"/>
                    <w:szCs w:val="24"/>
                    <w:shd w:val="clear" w:color="auto" w:fill="BFBFBF" w:themeFill="background1" w:themeFillShade="BF"/>
                  </w:rPr>
                  <w:t>[14]</w:t>
                </w:r>
                <w:r w:rsidR="00B3152F">
                  <w:rPr>
                    <w:rStyle w:val="Hyperlink"/>
                    <w:sz w:val="24"/>
                    <w:szCs w:val="24"/>
                    <w:lang w:val="en-US"/>
                  </w:rPr>
                  <w:fldChar w:fldCharType="end"/>
                </w:r>
              </w:sdtContent>
            </w:sdt>
            <w:r w:rsidRPr="001272D0">
              <w:rPr>
                <w:sz w:val="24"/>
                <w:szCs w:val="24"/>
                <w:lang w:val="en-US"/>
              </w:rPr>
              <w:t xml:space="preserve"> approach is recommended. </w:t>
            </w:r>
          </w:p>
        </w:tc>
      </w:tr>
      <w:tr w:rsidR="004D076F" w:rsidRPr="0039543A" w:rsidTr="004D076F">
        <w:trPr>
          <w:trHeight w:val="860"/>
        </w:trPr>
        <w:tc>
          <w:tcPr>
            <w:tcW w:w="1668" w:type="dxa"/>
            <w:shd w:val="clear" w:color="auto" w:fill="E5DFEC" w:themeFill="accent4" w:themeFillTint="33"/>
          </w:tcPr>
          <w:p w:rsidR="004D076F" w:rsidRPr="001272D0" w:rsidRDefault="004D076F" w:rsidP="004D076F">
            <w:pPr>
              <w:rPr>
                <w:sz w:val="24"/>
                <w:szCs w:val="24"/>
              </w:rPr>
            </w:pPr>
            <w:r w:rsidRPr="001272D0">
              <w:rPr>
                <w:sz w:val="24"/>
                <w:szCs w:val="24"/>
              </w:rPr>
              <w:t>Effective Care</w:t>
            </w:r>
          </w:p>
        </w:tc>
        <w:tc>
          <w:tcPr>
            <w:tcW w:w="7568" w:type="dxa"/>
            <w:shd w:val="clear" w:color="auto" w:fill="FDE9D9" w:themeFill="accent6" w:themeFillTint="33"/>
            <w:vAlign w:val="center"/>
          </w:tcPr>
          <w:p w:rsidR="004D076F" w:rsidRPr="001272D0" w:rsidRDefault="004D076F" w:rsidP="004D076F">
            <w:pPr>
              <w:rPr>
                <w:rFonts w:cstheme="minorHAnsi"/>
                <w:sz w:val="24"/>
                <w:szCs w:val="24"/>
              </w:rPr>
            </w:pPr>
            <w:r w:rsidRPr="001272D0">
              <w:rPr>
                <w:rFonts w:cstheme="minorHAnsi"/>
                <w:sz w:val="24"/>
                <w:szCs w:val="24"/>
              </w:rPr>
              <w:t xml:space="preserve">Multimodal analgesia is most effective but requires using medicines with different mechanisms of action to </w:t>
            </w:r>
            <w:r>
              <w:rPr>
                <w:rFonts w:cstheme="minorHAnsi"/>
                <w:sz w:val="24"/>
                <w:szCs w:val="24"/>
              </w:rPr>
              <w:t>deliver</w:t>
            </w:r>
            <w:r w:rsidRPr="001272D0">
              <w:rPr>
                <w:rFonts w:cstheme="minorHAnsi"/>
                <w:sz w:val="24"/>
                <w:szCs w:val="24"/>
              </w:rPr>
              <w:t xml:space="preserve"> additional or synergistic impact: inappropriate polypharmacy should be avoided. Use the minimum effective or tolerated dose and step up as required. Start low and go slow. </w:t>
            </w:r>
          </w:p>
        </w:tc>
      </w:tr>
    </w:tbl>
    <w:p w:rsidR="004D076F" w:rsidRDefault="004D076F" w:rsidP="004D076F"/>
    <w:p w:rsidR="00F23336" w:rsidRDefault="00F23336" w:rsidP="00F23336">
      <w:pPr>
        <w:pStyle w:val="Heading2"/>
      </w:pPr>
      <w:bookmarkStart w:id="23" w:name="_Appendix_8_–"/>
      <w:bookmarkStart w:id="24" w:name="_Toc529864515"/>
      <w:bookmarkEnd w:id="23"/>
      <w:r>
        <w:lastRenderedPageBreak/>
        <w:t xml:space="preserve">Appendix </w:t>
      </w:r>
      <w:r w:rsidR="00DD3A3B">
        <w:t>6</w:t>
      </w:r>
      <w:r>
        <w:t xml:space="preserve"> – Identification of </w:t>
      </w:r>
      <w:r w:rsidR="00487415">
        <w:t>patients</w:t>
      </w:r>
      <w:bookmarkEnd w:id="24"/>
      <w:r w:rsidR="00487415">
        <w:t xml:space="preserve"> </w:t>
      </w:r>
    </w:p>
    <w:p w:rsidR="00F23336" w:rsidRDefault="00F23336" w:rsidP="00F23336">
      <w:r w:rsidRPr="00F23336">
        <w:t>The Scottish Therapeutics Utility (STU) is a software programme aimed at improving the quality of repeat prescribing</w:t>
      </w:r>
      <w:r w:rsidR="00EA0C3B">
        <w:t>, available to all practices in NHS Scotland free of charge</w:t>
      </w:r>
      <w:r w:rsidRPr="00F23336">
        <w:t xml:space="preserve">. </w:t>
      </w:r>
      <w:r w:rsidR="00EA0C3B">
        <w:t xml:space="preserve">STU is entirely practice based and is generally updated each night. </w:t>
      </w:r>
      <w:r>
        <w:t xml:space="preserve">There are </w:t>
      </w:r>
      <w:r w:rsidRPr="00B126C6">
        <w:rPr>
          <w:color w:val="000000" w:themeColor="text1"/>
        </w:rPr>
        <w:t xml:space="preserve">two </w:t>
      </w:r>
      <w:r>
        <w:t>searches within the system which are of benefit in reviewing prescribing of gabapentinoids.</w:t>
      </w:r>
      <w:r w:rsidR="00123E54">
        <w:t xml:space="preserve"> These are:</w:t>
      </w:r>
    </w:p>
    <w:p w:rsidR="00443F46" w:rsidRDefault="00123E54" w:rsidP="00F23336">
      <w:r>
        <w:t xml:space="preserve">1. </w:t>
      </w:r>
      <w:r w:rsidR="00F23336">
        <w:t>Search 3</w:t>
      </w:r>
      <w:r>
        <w:t>, which</w:t>
      </w:r>
      <w:r w:rsidR="00F23336">
        <w:t xml:space="preserve"> looks at duplicate issues – specifically repeat items which have been issued more than once in a three day period</w:t>
      </w:r>
      <w:r w:rsidR="00396989">
        <w:t>, excluding reprints</w:t>
      </w:r>
      <w:r w:rsidR="00F23336">
        <w:t xml:space="preserve">. </w:t>
      </w:r>
      <w:r w:rsidR="00443F46">
        <w:t xml:space="preserve">The reprint functionality aims to prevent the same prescription being dispensed twice, for instance if a patient has lost the first prescription. The search therefore only includes medicines which would be dispensed twice by pharmacies. </w:t>
      </w:r>
    </w:p>
    <w:p w:rsidR="00443F46" w:rsidRDefault="00443F46" w:rsidP="00F23336">
      <w:r>
        <w:t>The screenshot below</w:t>
      </w:r>
      <w:r w:rsidR="00854ACC">
        <w:rPr>
          <w:rStyle w:val="FootnoteReference"/>
        </w:rPr>
        <w:footnoteReference w:id="4"/>
      </w:r>
      <w:r w:rsidR="00122325">
        <w:rPr>
          <w:rStyle w:val="FootnoteReference"/>
        </w:rPr>
        <w:t xml:space="preserve"> </w:t>
      </w:r>
      <w:r>
        <w:t xml:space="preserve">shows the data tables, which can be ordered alphabetically by the drug column (by clicking on the heading at the top of the column). By identifying repeat medicines issued more than once in three days, this may represent an opportunity to detect misuse or diversion. </w:t>
      </w:r>
    </w:p>
    <w:p w:rsidR="00443F46" w:rsidRDefault="00340265" w:rsidP="00F23336">
      <w:r w:rsidRPr="00340265">
        <w:rPr>
          <w:noProof/>
          <w:lang w:eastAsia="en-GB"/>
        </w:rPr>
        <w:drawing>
          <wp:inline distT="0" distB="0" distL="0" distR="0">
            <wp:extent cx="5040000" cy="2307201"/>
            <wp:effectExtent l="0" t="0" r="1905" b="444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28" cstate="print">
                      <a:extLst>
                        <a:ext uri="{28A0092B-C50C-407E-A947-70E740481C1C}">
                          <a14:useLocalDpi xmlns:a14="http://schemas.microsoft.com/office/drawing/2010/main"/>
                        </a:ext>
                      </a:extLst>
                    </a:blip>
                    <a:srcRect/>
                    <a:stretch/>
                  </pic:blipFill>
                  <pic:spPr bwMode="auto">
                    <a:xfrm>
                      <a:off x="0" y="0"/>
                      <a:ext cx="5040000" cy="2307201"/>
                    </a:xfrm>
                    <a:prstGeom prst="rect">
                      <a:avLst/>
                    </a:prstGeom>
                    <a:noFill/>
                    <a:ln>
                      <a:noFill/>
                    </a:ln>
                    <a:effectLst/>
                    <a:extLst>
                      <a:ext uri="{53640926-AAD7-44D8-BBD7-CCE9431645EC}">
                        <a14:shadowObscured xmlns:a14="http://schemas.microsoft.com/office/drawing/2010/main"/>
                      </a:ext>
                    </a:extLst>
                  </pic:spPr>
                </pic:pic>
              </a:graphicData>
            </a:graphic>
          </wp:inline>
        </w:drawing>
      </w:r>
    </w:p>
    <w:p w:rsidR="00EA0C3B" w:rsidRDefault="00123E54" w:rsidP="00F23336">
      <w:r>
        <w:t xml:space="preserve">2.  </w:t>
      </w:r>
      <w:r w:rsidR="00EA0C3B">
        <w:t>The recently released chronic pain searches</w:t>
      </w:r>
      <w:r>
        <w:t>, which</w:t>
      </w:r>
      <w:r w:rsidR="00EA0C3B">
        <w:t xml:space="preserve"> identify patients prescribed more than 2 defined daily doses (DDDs) of gabapentinoids, and </w:t>
      </w:r>
      <w:r w:rsidR="000F5853">
        <w:t xml:space="preserve">who </w:t>
      </w:r>
      <w:r w:rsidR="00EA0C3B">
        <w:t xml:space="preserve">may benefit from a review. The screenshot below demonstrates the search and how this is displayed. Other searches within this group focus on opioids, which may also be of interest. </w:t>
      </w:r>
    </w:p>
    <w:p w:rsidR="00506437" w:rsidRDefault="00EA0C3B">
      <w:pPr>
        <w:sectPr w:rsidR="00506437" w:rsidSect="006430BD">
          <w:footerReference w:type="default" r:id="rId29"/>
          <w:pgSz w:w="11906" w:h="16838"/>
          <w:pgMar w:top="1440" w:right="1558" w:bottom="1440" w:left="1440" w:header="708" w:footer="708" w:gutter="0"/>
          <w:cols w:space="708"/>
          <w:titlePg/>
          <w:docGrid w:linePitch="360"/>
        </w:sectPr>
      </w:pPr>
      <w:r w:rsidRPr="00EA0C3B">
        <w:rPr>
          <w:noProof/>
          <w:lang w:eastAsia="en-GB"/>
        </w:rPr>
        <w:drawing>
          <wp:inline distT="0" distB="0" distL="0" distR="0">
            <wp:extent cx="5040000" cy="1936050"/>
            <wp:effectExtent l="0" t="0" r="190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30" cstate="print">
                      <a:extLst>
                        <a:ext uri="{28A0092B-C50C-407E-A947-70E740481C1C}">
                          <a14:useLocalDpi xmlns:a14="http://schemas.microsoft.com/office/drawing/2010/main"/>
                        </a:ext>
                      </a:extLst>
                    </a:blip>
                    <a:srcRect/>
                    <a:stretch/>
                  </pic:blipFill>
                  <pic:spPr bwMode="auto">
                    <a:xfrm>
                      <a:off x="0" y="0"/>
                      <a:ext cx="5040000" cy="1936050"/>
                    </a:xfrm>
                    <a:prstGeom prst="rect">
                      <a:avLst/>
                    </a:prstGeom>
                    <a:noFill/>
                    <a:ln>
                      <a:noFill/>
                    </a:ln>
                    <a:effectLst/>
                    <a:extLst>
                      <a:ext uri="{53640926-AAD7-44D8-BBD7-CCE9431645EC}">
                        <a14:shadowObscured xmlns:a14="http://schemas.microsoft.com/office/drawing/2010/main"/>
                      </a:ext>
                    </a:extLst>
                  </pic:spPr>
                </pic:pic>
              </a:graphicData>
            </a:graphic>
          </wp:inline>
        </w:drawing>
      </w:r>
      <w:r w:rsidR="00644759">
        <w:br w:type="page"/>
      </w:r>
    </w:p>
    <w:p w:rsidR="00644759" w:rsidRDefault="00644759" w:rsidP="00860D03">
      <w:pPr>
        <w:pStyle w:val="Heading2"/>
      </w:pPr>
      <w:bookmarkStart w:id="25" w:name="_Appendix_7_–"/>
      <w:bookmarkStart w:id="26" w:name="_Toc529864516"/>
      <w:bookmarkEnd w:id="25"/>
      <w:r>
        <w:lastRenderedPageBreak/>
        <w:t>Appendix 7 – Quick Reference Guide</w:t>
      </w:r>
      <w:bookmarkEnd w:id="26"/>
      <w:r>
        <w:t xml:space="preserve"> </w:t>
      </w:r>
    </w:p>
    <w:p w:rsidR="00644759" w:rsidRDefault="00506437" w:rsidP="00860D03">
      <w:pPr>
        <w:pStyle w:val="NoSpacing"/>
      </w:pPr>
      <w:r>
        <w:rPr>
          <w:noProof/>
        </w:rPr>
        <w:drawing>
          <wp:inline distT="0" distB="0" distL="0" distR="0">
            <wp:extent cx="7915275" cy="614134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cstate="print">
                      <a:extLst>
                        <a:ext uri="{28A0092B-C50C-407E-A947-70E740481C1C}">
                          <a14:useLocalDpi xmlns:a14="http://schemas.microsoft.com/office/drawing/2010/main"/>
                        </a:ext>
                      </a:extLst>
                    </a:blip>
                    <a:srcRect/>
                    <a:stretch/>
                  </pic:blipFill>
                  <pic:spPr bwMode="auto">
                    <a:xfrm>
                      <a:off x="0" y="0"/>
                      <a:ext cx="7965648" cy="6180425"/>
                    </a:xfrm>
                    <a:prstGeom prst="rect">
                      <a:avLst/>
                    </a:prstGeom>
                    <a:ln>
                      <a:noFill/>
                    </a:ln>
                    <a:extLst>
                      <a:ext uri="{53640926-AAD7-44D8-BBD7-CCE9431645EC}">
                        <a14:shadowObscured xmlns:a14="http://schemas.microsoft.com/office/drawing/2010/main"/>
                      </a:ext>
                    </a:extLst>
                  </pic:spPr>
                </pic:pic>
              </a:graphicData>
            </a:graphic>
          </wp:inline>
        </w:drawing>
      </w:r>
    </w:p>
    <w:p w:rsidR="00506437" w:rsidRDefault="00506437" w:rsidP="00860D03">
      <w:pPr>
        <w:pStyle w:val="NoSpacing"/>
      </w:pPr>
      <w:r>
        <w:lastRenderedPageBreak/>
        <w:t>Appendix 7 Cont.</w:t>
      </w:r>
    </w:p>
    <w:p w:rsidR="00506437" w:rsidRDefault="00506437">
      <w:pPr>
        <w:rPr>
          <w:rFonts w:eastAsiaTheme="minorEastAsia"/>
          <w:lang w:eastAsia="en-GB"/>
        </w:rPr>
      </w:pPr>
      <w:r>
        <w:rPr>
          <w:noProof/>
          <w:lang w:eastAsia="en-GB"/>
        </w:rPr>
        <w:drawing>
          <wp:inline distT="0" distB="0" distL="0" distR="0">
            <wp:extent cx="7916400" cy="616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cstate="print">
                      <a:extLst>
                        <a:ext uri="{28A0092B-C50C-407E-A947-70E740481C1C}">
                          <a14:useLocalDpi xmlns:a14="http://schemas.microsoft.com/office/drawing/2010/main"/>
                        </a:ext>
                      </a:extLst>
                    </a:blip>
                    <a:srcRect/>
                    <a:stretch/>
                  </pic:blipFill>
                  <pic:spPr bwMode="auto">
                    <a:xfrm>
                      <a:off x="0" y="0"/>
                      <a:ext cx="7916400" cy="616320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br w:type="page"/>
      </w:r>
    </w:p>
    <w:p w:rsidR="00506437" w:rsidRDefault="00506437" w:rsidP="00644759">
      <w:pPr>
        <w:pStyle w:val="NoSpacing"/>
        <w:sectPr w:rsidR="00506437" w:rsidSect="00860D03">
          <w:pgSz w:w="16838" w:h="11906" w:orient="landscape"/>
          <w:pgMar w:top="567" w:right="1440" w:bottom="1135" w:left="1440" w:header="709" w:footer="709" w:gutter="0"/>
          <w:cols w:space="708"/>
          <w:titlePg/>
          <w:docGrid w:linePitch="360"/>
        </w:sectPr>
      </w:pPr>
    </w:p>
    <w:sdt>
      <w:sdtPr>
        <w:rPr>
          <w:rFonts w:asciiTheme="minorHAnsi" w:eastAsiaTheme="minorHAnsi" w:hAnsiTheme="minorHAnsi" w:cstheme="minorBidi"/>
          <w:b w:val="0"/>
          <w:bCs w:val="0"/>
          <w:color w:val="auto"/>
          <w:sz w:val="22"/>
          <w:szCs w:val="22"/>
        </w:rPr>
        <w:id w:val="-661782910"/>
        <w:docPartObj>
          <w:docPartGallery w:val="Bibliographies"/>
          <w:docPartUnique/>
        </w:docPartObj>
      </w:sdtPr>
      <w:sdtEndPr/>
      <w:sdtContent>
        <w:bookmarkStart w:id="27" w:name="_Toc529864517" w:displacedByCustomXml="prev"/>
        <w:p w:rsidR="000A69B9" w:rsidRDefault="000A69B9" w:rsidP="006430BD">
          <w:pPr>
            <w:pStyle w:val="Heading1"/>
            <w:ind w:left="-284"/>
          </w:pPr>
          <w:r>
            <w:t>References</w:t>
          </w:r>
          <w:bookmarkEnd w:id="27"/>
        </w:p>
        <w:sdt>
          <w:sdtPr>
            <w:id w:val="-573587230"/>
            <w:bibliography/>
          </w:sdtPr>
          <w:sdtEndPr/>
          <w:sdtContent>
            <w:p w:rsidR="000A69B9" w:rsidRDefault="00B3152F" w:rsidP="006430BD">
              <w:pPr>
                <w:ind w:left="-284"/>
                <w:rPr>
                  <w:noProof/>
                </w:rPr>
              </w:pPr>
              <w:r>
                <w:fldChar w:fldCharType="begin"/>
              </w:r>
              <w:r w:rsidR="000A69B9">
                <w:instrText xml:space="preserve"> BIBLIOGRAPHY </w:instrText>
              </w:r>
              <w:r>
                <w:fldChar w:fldCharType="separate"/>
              </w:r>
            </w:p>
            <w:tbl>
              <w:tblPr>
                <w:tblW w:w="5000" w:type="pct"/>
                <w:tblCellSpacing w:w="15" w:type="dxa"/>
                <w:tblInd w:w="-239" w:type="dxa"/>
                <w:tblLayout w:type="fixed"/>
                <w:tblCellMar>
                  <w:top w:w="15" w:type="dxa"/>
                  <w:left w:w="15" w:type="dxa"/>
                  <w:bottom w:w="15" w:type="dxa"/>
                  <w:right w:w="15" w:type="dxa"/>
                </w:tblCellMar>
                <w:tblLook w:val="04A0" w:firstRow="1" w:lastRow="0" w:firstColumn="1" w:lastColumn="0" w:noHBand="0" w:noVBand="1"/>
              </w:tblPr>
              <w:tblGrid>
                <w:gridCol w:w="187"/>
                <w:gridCol w:w="391"/>
                <w:gridCol w:w="225"/>
                <w:gridCol w:w="8054"/>
                <w:gridCol w:w="50"/>
              </w:tblGrid>
              <w:tr w:rsidR="000A69B9" w:rsidTr="00860D03">
                <w:trPr>
                  <w:gridAfter w:val="1"/>
                  <w:divId w:val="1858959515"/>
                  <w:wAfter w:w="3" w:type="pct"/>
                  <w:trHeight w:val="1434"/>
                  <w:tblCellSpacing w:w="15" w:type="dxa"/>
                </w:trPr>
                <w:tc>
                  <w:tcPr>
                    <w:tcW w:w="284" w:type="pct"/>
                    <w:gridSpan w:val="2"/>
                    <w:hideMark/>
                  </w:tcPr>
                  <w:p w:rsidR="000A69B9" w:rsidRDefault="000A69B9">
                    <w:pPr>
                      <w:pStyle w:val="Bibliography"/>
                      <w:rPr>
                        <w:noProof/>
                        <w:sz w:val="24"/>
                        <w:szCs w:val="24"/>
                      </w:rPr>
                    </w:pPr>
                    <w:r>
                      <w:rPr>
                        <w:noProof/>
                      </w:rPr>
                      <w:t xml:space="preserve">[1] </w:t>
                    </w:r>
                  </w:p>
                </w:tc>
                <w:tc>
                  <w:tcPr>
                    <w:tcW w:w="4648" w:type="pct"/>
                    <w:gridSpan w:val="2"/>
                    <w:hideMark/>
                  </w:tcPr>
                  <w:p w:rsidR="000A69B9" w:rsidRDefault="000A69B9">
                    <w:pPr>
                      <w:pStyle w:val="Bibliography"/>
                      <w:rPr>
                        <w:noProof/>
                      </w:rPr>
                    </w:pPr>
                    <w:r>
                      <w:rPr>
                        <w:noProof/>
                      </w:rPr>
                      <w:t>Effective Prescribing and Therapeutics Branch, Scottish Government, “Quality Prescribing for Chronic Pain - A Guide for Improvement 2018-2021,” 2018. [Online]. Available: https://www.therapeutics.scot.nhs.uk/wp-content/uploads/2018/03/Strategy-Chronic-Pain-Quality-Prescribing-for-Chronic-Pain-2018.pdf. [Accessed 7th November 2018].</w:t>
                    </w:r>
                  </w:p>
                </w:tc>
              </w:tr>
              <w:tr w:rsidR="000A69B9" w:rsidTr="00860D03">
                <w:trPr>
                  <w:gridAfter w:val="1"/>
                  <w:divId w:val="1858959515"/>
                  <w:wAfter w:w="3" w:type="pct"/>
                  <w:trHeight w:val="830"/>
                  <w:tblCellSpacing w:w="15" w:type="dxa"/>
                </w:trPr>
                <w:tc>
                  <w:tcPr>
                    <w:tcW w:w="284" w:type="pct"/>
                    <w:gridSpan w:val="2"/>
                    <w:hideMark/>
                  </w:tcPr>
                  <w:p w:rsidR="000A69B9" w:rsidRDefault="000A69B9">
                    <w:pPr>
                      <w:pStyle w:val="Bibliography"/>
                      <w:rPr>
                        <w:noProof/>
                      </w:rPr>
                    </w:pPr>
                    <w:r>
                      <w:rPr>
                        <w:noProof/>
                      </w:rPr>
                      <w:t xml:space="preserve">[2] </w:t>
                    </w:r>
                  </w:p>
                </w:tc>
                <w:tc>
                  <w:tcPr>
                    <w:tcW w:w="4648" w:type="pct"/>
                    <w:gridSpan w:val="2"/>
                    <w:hideMark/>
                  </w:tcPr>
                  <w:p w:rsidR="000A69B9" w:rsidRDefault="000A69B9">
                    <w:pPr>
                      <w:pStyle w:val="Bibliography"/>
                      <w:rPr>
                        <w:noProof/>
                      </w:rPr>
                    </w:pPr>
                    <w:r>
                      <w:rPr>
                        <w:noProof/>
                      </w:rPr>
                      <w:t xml:space="preserve">N. e. a. Finnerup, “Pharmacotherapy for neuropathic pain in adults: a systematic review and meta-analysis,” </w:t>
                    </w:r>
                    <w:r>
                      <w:rPr>
                        <w:i/>
                        <w:iCs/>
                        <w:noProof/>
                      </w:rPr>
                      <w:t xml:space="preserve">The Lancet, </w:t>
                    </w:r>
                    <w:r>
                      <w:rPr>
                        <w:noProof/>
                      </w:rPr>
                      <w:t xml:space="preserve">vol. 14, no. 2, pp. 162-173, 2015. </w:t>
                    </w:r>
                  </w:p>
                </w:tc>
              </w:tr>
              <w:tr w:rsidR="000A69B9" w:rsidTr="00860D03">
                <w:trPr>
                  <w:gridAfter w:val="1"/>
                  <w:divId w:val="1858959515"/>
                  <w:wAfter w:w="3" w:type="pct"/>
                  <w:trHeight w:val="1132"/>
                  <w:tblCellSpacing w:w="15" w:type="dxa"/>
                </w:trPr>
                <w:tc>
                  <w:tcPr>
                    <w:tcW w:w="284" w:type="pct"/>
                    <w:gridSpan w:val="2"/>
                    <w:hideMark/>
                  </w:tcPr>
                  <w:p w:rsidR="000A69B9" w:rsidRDefault="000A69B9">
                    <w:pPr>
                      <w:pStyle w:val="Bibliography"/>
                      <w:rPr>
                        <w:noProof/>
                      </w:rPr>
                    </w:pPr>
                    <w:r>
                      <w:rPr>
                        <w:noProof/>
                      </w:rPr>
                      <w:t xml:space="preserve">[3] </w:t>
                    </w:r>
                  </w:p>
                </w:tc>
                <w:tc>
                  <w:tcPr>
                    <w:tcW w:w="4648" w:type="pct"/>
                    <w:gridSpan w:val="2"/>
                    <w:hideMark/>
                  </w:tcPr>
                  <w:p w:rsidR="000A69B9" w:rsidRDefault="000A69B9">
                    <w:pPr>
                      <w:pStyle w:val="Bibliography"/>
                      <w:rPr>
                        <w:noProof/>
                      </w:rPr>
                    </w:pPr>
                    <w:r>
                      <w:rPr>
                        <w:noProof/>
                      </w:rPr>
                      <w:t>Scottish Intercollegiate Guidelines Network (SIGN), “Management of chronic pain. SIGN publication no. 136,” 2013. [Online]. Available: https://www.sign.ac.uk/assets/sign136.pdf. [Accessed 7 November 2018].</w:t>
                    </w:r>
                  </w:p>
                </w:tc>
              </w:tr>
              <w:tr w:rsidR="000A69B9" w:rsidTr="00860D03">
                <w:trPr>
                  <w:gridAfter w:val="1"/>
                  <w:divId w:val="1858959515"/>
                  <w:wAfter w:w="3" w:type="pct"/>
                  <w:trHeight w:val="1132"/>
                  <w:tblCellSpacing w:w="15" w:type="dxa"/>
                </w:trPr>
                <w:tc>
                  <w:tcPr>
                    <w:tcW w:w="284" w:type="pct"/>
                    <w:gridSpan w:val="2"/>
                    <w:hideMark/>
                  </w:tcPr>
                  <w:p w:rsidR="000A69B9" w:rsidRDefault="000A69B9">
                    <w:pPr>
                      <w:pStyle w:val="Bibliography"/>
                      <w:rPr>
                        <w:noProof/>
                      </w:rPr>
                    </w:pPr>
                    <w:r>
                      <w:rPr>
                        <w:noProof/>
                      </w:rPr>
                      <w:t xml:space="preserve">[4] </w:t>
                    </w:r>
                  </w:p>
                </w:tc>
                <w:tc>
                  <w:tcPr>
                    <w:tcW w:w="4648" w:type="pct"/>
                    <w:gridSpan w:val="2"/>
                    <w:hideMark/>
                  </w:tcPr>
                  <w:p w:rsidR="000A69B9" w:rsidRDefault="000A69B9">
                    <w:pPr>
                      <w:pStyle w:val="Bibliography"/>
                      <w:rPr>
                        <w:noProof/>
                      </w:rPr>
                    </w:pPr>
                    <w:r>
                      <w:rPr>
                        <w:noProof/>
                      </w:rPr>
                      <w:t>Healthcare Improvement Scotland (HIS), “Why is it important to ask ‘what matters?’,” [Online]. Available: http://www.whatmatterstoyou.scot/why-is-it-important-to-ask-what-matters/. [Accessed 7 November 2018].</w:t>
                    </w:r>
                  </w:p>
                </w:tc>
              </w:tr>
              <w:tr w:rsidR="000A69B9" w:rsidTr="00860D03">
                <w:trPr>
                  <w:gridAfter w:val="1"/>
                  <w:divId w:val="1858959515"/>
                  <w:wAfter w:w="3" w:type="pct"/>
                  <w:trHeight w:val="830"/>
                  <w:tblCellSpacing w:w="15" w:type="dxa"/>
                </w:trPr>
                <w:tc>
                  <w:tcPr>
                    <w:tcW w:w="284" w:type="pct"/>
                    <w:gridSpan w:val="2"/>
                    <w:hideMark/>
                  </w:tcPr>
                  <w:p w:rsidR="000A69B9" w:rsidRDefault="000A69B9">
                    <w:pPr>
                      <w:pStyle w:val="Bibliography"/>
                      <w:rPr>
                        <w:noProof/>
                      </w:rPr>
                    </w:pPr>
                    <w:r>
                      <w:rPr>
                        <w:noProof/>
                      </w:rPr>
                      <w:t xml:space="preserve">[5] </w:t>
                    </w:r>
                  </w:p>
                </w:tc>
                <w:tc>
                  <w:tcPr>
                    <w:tcW w:w="4648" w:type="pct"/>
                    <w:gridSpan w:val="2"/>
                    <w:hideMark/>
                  </w:tcPr>
                  <w:p w:rsidR="000A69B9" w:rsidRDefault="000A69B9">
                    <w:pPr>
                      <w:pStyle w:val="Bibliography"/>
                      <w:rPr>
                        <w:noProof/>
                      </w:rPr>
                    </w:pPr>
                    <w:r>
                      <w:rPr>
                        <w:noProof/>
                      </w:rPr>
                      <w:t>Pain Concern, “Research - Navigator Tool,” [Online]. Available: http://painconcern.org.uk/research/. [Accessed 13 November 2018].</w:t>
                    </w:r>
                  </w:p>
                </w:tc>
              </w:tr>
              <w:tr w:rsidR="000A69B9" w:rsidTr="00860D03">
                <w:trPr>
                  <w:gridAfter w:val="1"/>
                  <w:divId w:val="1858959515"/>
                  <w:wAfter w:w="3" w:type="pct"/>
                  <w:trHeight w:val="815"/>
                  <w:tblCellSpacing w:w="15" w:type="dxa"/>
                </w:trPr>
                <w:tc>
                  <w:tcPr>
                    <w:tcW w:w="284" w:type="pct"/>
                    <w:gridSpan w:val="2"/>
                    <w:hideMark/>
                  </w:tcPr>
                  <w:p w:rsidR="000A69B9" w:rsidRDefault="000A69B9">
                    <w:pPr>
                      <w:pStyle w:val="Bibliography"/>
                      <w:rPr>
                        <w:noProof/>
                      </w:rPr>
                    </w:pPr>
                    <w:r>
                      <w:rPr>
                        <w:noProof/>
                      </w:rPr>
                      <w:t xml:space="preserve">[6] </w:t>
                    </w:r>
                  </w:p>
                </w:tc>
                <w:tc>
                  <w:tcPr>
                    <w:tcW w:w="4648" w:type="pct"/>
                    <w:gridSpan w:val="2"/>
                    <w:hideMark/>
                  </w:tcPr>
                  <w:p w:rsidR="000A69B9" w:rsidRDefault="000A69B9">
                    <w:pPr>
                      <w:pStyle w:val="Bibliography"/>
                      <w:rPr>
                        <w:noProof/>
                      </w:rPr>
                    </w:pPr>
                    <w:r>
                      <w:rPr>
                        <w:noProof/>
                      </w:rPr>
                      <w:t>A Local Information System for Scotland (ALISS), “Connecting Communities,” 2018. [Online]. Available: https://www.aliss.org/. [Accessed 7 November 2018].</w:t>
                    </w:r>
                  </w:p>
                </w:tc>
              </w:tr>
              <w:tr w:rsidR="000A69B9" w:rsidTr="00860D03">
                <w:trPr>
                  <w:gridAfter w:val="1"/>
                  <w:divId w:val="1858959515"/>
                  <w:wAfter w:w="3" w:type="pct"/>
                  <w:trHeight w:val="1132"/>
                  <w:tblCellSpacing w:w="15" w:type="dxa"/>
                </w:trPr>
                <w:tc>
                  <w:tcPr>
                    <w:tcW w:w="284" w:type="pct"/>
                    <w:gridSpan w:val="2"/>
                    <w:hideMark/>
                  </w:tcPr>
                  <w:p w:rsidR="000A69B9" w:rsidRDefault="000A69B9">
                    <w:pPr>
                      <w:pStyle w:val="Bibliography"/>
                      <w:rPr>
                        <w:noProof/>
                      </w:rPr>
                    </w:pPr>
                    <w:r>
                      <w:rPr>
                        <w:noProof/>
                      </w:rPr>
                      <w:t xml:space="preserve">[7] </w:t>
                    </w:r>
                  </w:p>
                </w:tc>
                <w:tc>
                  <w:tcPr>
                    <w:tcW w:w="4648" w:type="pct"/>
                    <w:gridSpan w:val="2"/>
                    <w:hideMark/>
                  </w:tcPr>
                  <w:p w:rsidR="000A69B9" w:rsidRDefault="000A69B9">
                    <w:pPr>
                      <w:pStyle w:val="Bibliography"/>
                      <w:rPr>
                        <w:noProof/>
                      </w:rPr>
                    </w:pPr>
                    <w:r>
                      <w:rPr>
                        <w:noProof/>
                      </w:rPr>
                      <w:t>Home Office and Victoria Atkins MP, “Pregabalin and gabapentin to be controlled as class C drugs,” 15 October 2018. [Online]. Available: https://www.gov.uk/government/news/pregabalin-and-gabapentin-to-be-controlled-as-class-c-drugs. [Accessed 7 November 2018].</w:t>
                    </w:r>
                  </w:p>
                </w:tc>
              </w:tr>
              <w:tr w:rsidR="000A69B9" w:rsidTr="00860D03">
                <w:trPr>
                  <w:gridAfter w:val="1"/>
                  <w:divId w:val="1858959515"/>
                  <w:wAfter w:w="3" w:type="pct"/>
                  <w:trHeight w:val="830"/>
                  <w:tblCellSpacing w:w="15" w:type="dxa"/>
                </w:trPr>
                <w:tc>
                  <w:tcPr>
                    <w:tcW w:w="284" w:type="pct"/>
                    <w:gridSpan w:val="2"/>
                    <w:hideMark/>
                  </w:tcPr>
                  <w:p w:rsidR="000A69B9" w:rsidRDefault="000A69B9">
                    <w:pPr>
                      <w:pStyle w:val="Bibliography"/>
                      <w:rPr>
                        <w:noProof/>
                      </w:rPr>
                    </w:pPr>
                    <w:r>
                      <w:rPr>
                        <w:noProof/>
                      </w:rPr>
                      <w:t xml:space="preserve">[8] </w:t>
                    </w:r>
                  </w:p>
                </w:tc>
                <w:tc>
                  <w:tcPr>
                    <w:tcW w:w="4648" w:type="pct"/>
                    <w:gridSpan w:val="2"/>
                    <w:hideMark/>
                  </w:tcPr>
                  <w:p w:rsidR="000A69B9" w:rsidRDefault="000A69B9">
                    <w:pPr>
                      <w:pStyle w:val="Bibliography"/>
                      <w:rPr>
                        <w:noProof/>
                      </w:rPr>
                    </w:pPr>
                    <w:r>
                      <w:rPr>
                        <w:noProof/>
                      </w:rPr>
                      <w:t>British National Formulary (BNF), “Gabapentin,” 2 October 2018. [Online]. Available: https://bnf.nice.org.uk/drug/gabapentin.html#cautions. [Accessed 7 November 2018].</w:t>
                    </w:r>
                  </w:p>
                </w:tc>
              </w:tr>
              <w:tr w:rsidR="000A69B9" w:rsidTr="00860D03">
                <w:trPr>
                  <w:gridAfter w:val="1"/>
                  <w:divId w:val="1858959515"/>
                  <w:wAfter w:w="3" w:type="pct"/>
                  <w:trHeight w:val="1751"/>
                  <w:tblCellSpacing w:w="15" w:type="dxa"/>
                </w:trPr>
                <w:tc>
                  <w:tcPr>
                    <w:tcW w:w="284" w:type="pct"/>
                    <w:gridSpan w:val="2"/>
                    <w:hideMark/>
                  </w:tcPr>
                  <w:p w:rsidR="000A69B9" w:rsidRDefault="000A69B9">
                    <w:pPr>
                      <w:pStyle w:val="Bibliography"/>
                      <w:rPr>
                        <w:noProof/>
                      </w:rPr>
                    </w:pPr>
                    <w:r>
                      <w:rPr>
                        <w:noProof/>
                      </w:rPr>
                      <w:t xml:space="preserve">[9] </w:t>
                    </w:r>
                  </w:p>
                </w:tc>
                <w:tc>
                  <w:tcPr>
                    <w:tcW w:w="4648" w:type="pct"/>
                    <w:gridSpan w:val="2"/>
                    <w:hideMark/>
                  </w:tcPr>
                  <w:p w:rsidR="000A69B9" w:rsidRDefault="000A69B9">
                    <w:pPr>
                      <w:pStyle w:val="Bibliography"/>
                      <w:rPr>
                        <w:noProof/>
                      </w:rPr>
                    </w:pPr>
                    <w:r>
                      <w:rPr>
                        <w:noProof/>
                      </w:rPr>
                      <w:t>NHS England and Public Health England, “Advice for prescribers on the risk of the misuse of pregabalin and gabapentin,” December 2014. [Online]. Available: https://assets.publishing.service.gov.uk/government/uploads/system/uploads/attachment_data/file/385791/PHE-NHS_England_pregabalin_and_gabapentin_advice_Dec_2014.pdf. [Accessed 7 November 2018].</w:t>
                    </w:r>
                  </w:p>
                </w:tc>
              </w:tr>
              <w:tr w:rsidR="000A69B9" w:rsidTr="00860D03">
                <w:trPr>
                  <w:gridAfter w:val="1"/>
                  <w:divId w:val="1858959515"/>
                  <w:wAfter w:w="3" w:type="pct"/>
                  <w:trHeight w:val="1751"/>
                  <w:tblCellSpacing w:w="15" w:type="dxa"/>
                </w:trPr>
                <w:tc>
                  <w:tcPr>
                    <w:tcW w:w="284" w:type="pct"/>
                    <w:gridSpan w:val="2"/>
                    <w:hideMark/>
                  </w:tcPr>
                  <w:p w:rsidR="000A69B9" w:rsidRDefault="000A69B9" w:rsidP="006430BD">
                    <w:pPr>
                      <w:pStyle w:val="Bibliography"/>
                      <w:ind w:right="-33"/>
                      <w:rPr>
                        <w:noProof/>
                      </w:rPr>
                    </w:pPr>
                    <w:r>
                      <w:rPr>
                        <w:noProof/>
                      </w:rPr>
                      <w:t xml:space="preserve">[10] </w:t>
                    </w:r>
                  </w:p>
                </w:tc>
                <w:tc>
                  <w:tcPr>
                    <w:tcW w:w="4648" w:type="pct"/>
                    <w:gridSpan w:val="2"/>
                    <w:hideMark/>
                  </w:tcPr>
                  <w:p w:rsidR="000A69B9" w:rsidRDefault="000A69B9">
                    <w:pPr>
                      <w:pStyle w:val="Bibliography"/>
                      <w:rPr>
                        <w:noProof/>
                      </w:rPr>
                    </w:pPr>
                    <w:r>
                      <w:rPr>
                        <w:noProof/>
                      </w:rPr>
                      <w:t>Clinical Guidelines on Drug Misuse and Dependence Update 2017 Independent Expert Working Group, “Clinical Guidelines on Drug Misuse and Dependence Update 2017,” November 2017. [Online]. Available: https://assets.publishing.service.gov.uk/government/uploads/system/uploads/attachment_data/file/673978/clinical_guidelines_2017.pdf. [Accessed 7 November 2018].</w:t>
                    </w:r>
                  </w:p>
                </w:tc>
              </w:tr>
              <w:tr w:rsidR="000A69B9" w:rsidTr="00860D03">
                <w:trPr>
                  <w:gridBefore w:val="1"/>
                  <w:divId w:val="1858959515"/>
                  <w:wBefore w:w="80" w:type="pct"/>
                  <w:trHeight w:val="830"/>
                  <w:tblCellSpacing w:w="15" w:type="dxa"/>
                </w:trPr>
                <w:tc>
                  <w:tcPr>
                    <w:tcW w:w="315" w:type="pct"/>
                    <w:gridSpan w:val="2"/>
                    <w:hideMark/>
                  </w:tcPr>
                  <w:p w:rsidR="000A69B9" w:rsidRDefault="000A69B9">
                    <w:pPr>
                      <w:pStyle w:val="Bibliography"/>
                      <w:rPr>
                        <w:noProof/>
                      </w:rPr>
                    </w:pPr>
                    <w:r>
                      <w:rPr>
                        <w:noProof/>
                      </w:rPr>
                      <w:lastRenderedPageBreak/>
                      <w:t xml:space="preserve">[11] </w:t>
                    </w:r>
                  </w:p>
                </w:tc>
                <w:tc>
                  <w:tcPr>
                    <w:tcW w:w="4539" w:type="pct"/>
                    <w:gridSpan w:val="2"/>
                    <w:hideMark/>
                  </w:tcPr>
                  <w:p w:rsidR="000A69B9" w:rsidRDefault="000A69B9">
                    <w:pPr>
                      <w:pStyle w:val="Bibliography"/>
                      <w:rPr>
                        <w:noProof/>
                      </w:rPr>
                    </w:pPr>
                    <w:r>
                      <w:rPr>
                        <w:noProof/>
                      </w:rPr>
                      <w:t xml:space="preserve">W. R. Webster LR, “Predicting aberrant behaviors in opioid-treated patients: preliminary validation of the Opioid Risk Tool,” </w:t>
                    </w:r>
                    <w:r>
                      <w:rPr>
                        <w:i/>
                        <w:iCs/>
                        <w:noProof/>
                      </w:rPr>
                      <w:t xml:space="preserve">Pain medicine, </w:t>
                    </w:r>
                    <w:r>
                      <w:rPr>
                        <w:noProof/>
                      </w:rPr>
                      <w:t xml:space="preserve">vol. 6, no. 6, pp. 432-442, 2005. </w:t>
                    </w:r>
                  </w:p>
                </w:tc>
              </w:tr>
              <w:tr w:rsidR="000A69B9" w:rsidTr="00860D03">
                <w:trPr>
                  <w:gridBefore w:val="1"/>
                  <w:divId w:val="1858959515"/>
                  <w:wBefore w:w="80" w:type="pct"/>
                  <w:trHeight w:val="1132"/>
                  <w:tblCellSpacing w:w="15" w:type="dxa"/>
                </w:trPr>
                <w:tc>
                  <w:tcPr>
                    <w:tcW w:w="315" w:type="pct"/>
                    <w:gridSpan w:val="2"/>
                    <w:hideMark/>
                  </w:tcPr>
                  <w:p w:rsidR="000A69B9" w:rsidRDefault="000A69B9">
                    <w:pPr>
                      <w:pStyle w:val="Bibliography"/>
                      <w:rPr>
                        <w:noProof/>
                      </w:rPr>
                    </w:pPr>
                    <w:r>
                      <w:rPr>
                        <w:noProof/>
                      </w:rPr>
                      <w:t xml:space="preserve">[12] </w:t>
                    </w:r>
                  </w:p>
                </w:tc>
                <w:tc>
                  <w:tcPr>
                    <w:tcW w:w="4539" w:type="pct"/>
                    <w:gridSpan w:val="2"/>
                    <w:hideMark/>
                  </w:tcPr>
                  <w:p w:rsidR="000A69B9" w:rsidRDefault="000A69B9">
                    <w:pPr>
                      <w:pStyle w:val="Bibliography"/>
                      <w:rPr>
                        <w:noProof/>
                      </w:rPr>
                    </w:pPr>
                    <w:r>
                      <w:rPr>
                        <w:noProof/>
                      </w:rPr>
                      <w:t xml:space="preserve">B. H. S. N. T. a. J. P. Michael I. Bennett, “The S-LANSS Score for Identifying Pain of Predominantly Neuropathic Origin: Validation for Use in Clinical and Postal Research,” </w:t>
                    </w:r>
                    <w:r>
                      <w:rPr>
                        <w:i/>
                        <w:iCs/>
                        <w:noProof/>
                      </w:rPr>
                      <w:t xml:space="preserve">American Pain Society, </w:t>
                    </w:r>
                    <w:r>
                      <w:rPr>
                        <w:noProof/>
                      </w:rPr>
                      <w:t xml:space="preserve">vol. 6, no. 3, pp. 149-158, 2005. </w:t>
                    </w:r>
                  </w:p>
                </w:tc>
              </w:tr>
              <w:tr w:rsidR="000A69B9" w:rsidTr="00860D03">
                <w:trPr>
                  <w:gridBefore w:val="1"/>
                  <w:divId w:val="1858959515"/>
                  <w:wBefore w:w="80" w:type="pct"/>
                  <w:trHeight w:val="830"/>
                  <w:tblCellSpacing w:w="15" w:type="dxa"/>
                </w:trPr>
                <w:tc>
                  <w:tcPr>
                    <w:tcW w:w="315" w:type="pct"/>
                    <w:gridSpan w:val="2"/>
                    <w:hideMark/>
                  </w:tcPr>
                  <w:p w:rsidR="000A69B9" w:rsidRDefault="000A69B9">
                    <w:pPr>
                      <w:pStyle w:val="Bibliography"/>
                      <w:rPr>
                        <w:noProof/>
                      </w:rPr>
                    </w:pPr>
                    <w:r>
                      <w:rPr>
                        <w:noProof/>
                      </w:rPr>
                      <w:t xml:space="preserve">[13] </w:t>
                    </w:r>
                  </w:p>
                </w:tc>
                <w:tc>
                  <w:tcPr>
                    <w:tcW w:w="4539" w:type="pct"/>
                    <w:gridSpan w:val="2"/>
                    <w:hideMark/>
                  </w:tcPr>
                  <w:p w:rsidR="000A69B9" w:rsidRDefault="000A69B9">
                    <w:pPr>
                      <w:pStyle w:val="Bibliography"/>
                      <w:rPr>
                        <w:noProof/>
                      </w:rPr>
                    </w:pPr>
                    <w:r>
                      <w:rPr>
                        <w:noProof/>
                      </w:rPr>
                      <w:t>“Sample Practice Chronic Pain Analgesic protocol,” 2018. [Online]. Available: https://www.therapeutics.scot.nhs.uk/pain/. [Accessed 8 November 2018].</w:t>
                    </w:r>
                  </w:p>
                </w:tc>
              </w:tr>
              <w:tr w:rsidR="000A69B9" w:rsidTr="00860D03">
                <w:trPr>
                  <w:gridBefore w:val="1"/>
                  <w:divId w:val="1858959515"/>
                  <w:wBefore w:w="80" w:type="pct"/>
                  <w:trHeight w:val="815"/>
                  <w:tblCellSpacing w:w="15" w:type="dxa"/>
                </w:trPr>
                <w:tc>
                  <w:tcPr>
                    <w:tcW w:w="315" w:type="pct"/>
                    <w:gridSpan w:val="2"/>
                    <w:hideMark/>
                  </w:tcPr>
                  <w:p w:rsidR="000A69B9" w:rsidRDefault="000A69B9">
                    <w:pPr>
                      <w:pStyle w:val="Bibliography"/>
                      <w:rPr>
                        <w:noProof/>
                      </w:rPr>
                    </w:pPr>
                    <w:r>
                      <w:rPr>
                        <w:noProof/>
                      </w:rPr>
                      <w:t xml:space="preserve">[14] </w:t>
                    </w:r>
                  </w:p>
                </w:tc>
                <w:tc>
                  <w:tcPr>
                    <w:tcW w:w="4539" w:type="pct"/>
                    <w:gridSpan w:val="2"/>
                    <w:hideMark/>
                  </w:tcPr>
                  <w:p w:rsidR="000A69B9" w:rsidRDefault="000A69B9">
                    <w:pPr>
                      <w:pStyle w:val="Bibliography"/>
                      <w:rPr>
                        <w:noProof/>
                      </w:rPr>
                    </w:pPr>
                    <w:r>
                      <w:rPr>
                        <w:noProof/>
                      </w:rPr>
                      <w:t>Effective Prescribing and Therapeutics branch, Scottish Government, “Polypharmacy,” [Online]. Available: https://www.therapeutics.scot.nhs.uk/polypharmacy/. [Accessed 13 11 2018].</w:t>
                    </w:r>
                  </w:p>
                </w:tc>
              </w:tr>
              <w:tr w:rsidR="000A69B9" w:rsidTr="00860D03">
                <w:trPr>
                  <w:gridBefore w:val="1"/>
                  <w:divId w:val="1858959515"/>
                  <w:wBefore w:w="80" w:type="pct"/>
                  <w:trHeight w:val="830"/>
                  <w:tblCellSpacing w:w="15" w:type="dxa"/>
                </w:trPr>
                <w:tc>
                  <w:tcPr>
                    <w:tcW w:w="315" w:type="pct"/>
                    <w:gridSpan w:val="2"/>
                    <w:hideMark/>
                  </w:tcPr>
                  <w:p w:rsidR="000A69B9" w:rsidRDefault="000A69B9">
                    <w:pPr>
                      <w:pStyle w:val="Bibliography"/>
                      <w:rPr>
                        <w:noProof/>
                      </w:rPr>
                    </w:pPr>
                    <w:r>
                      <w:rPr>
                        <w:noProof/>
                      </w:rPr>
                      <w:t xml:space="preserve">[15] </w:t>
                    </w:r>
                  </w:p>
                </w:tc>
                <w:tc>
                  <w:tcPr>
                    <w:tcW w:w="4539" w:type="pct"/>
                    <w:gridSpan w:val="2"/>
                    <w:hideMark/>
                  </w:tcPr>
                  <w:p w:rsidR="000A69B9" w:rsidRDefault="000A69B9">
                    <w:pPr>
                      <w:pStyle w:val="Bibliography"/>
                      <w:rPr>
                        <w:noProof/>
                      </w:rPr>
                    </w:pPr>
                    <w:r>
                      <w:rPr>
                        <w:noProof/>
                      </w:rPr>
                      <w:t>Pain Concern, “Medicines for long-term pain,” 27 October 2017. [Online]. Available: http://painconcern.org.uk/medicines-long-term-pain/. [Accessed 13 11 2018].</w:t>
                    </w:r>
                  </w:p>
                </w:tc>
              </w:tr>
              <w:tr w:rsidR="000A69B9" w:rsidTr="00860D03">
                <w:trPr>
                  <w:gridBefore w:val="1"/>
                  <w:divId w:val="1858959515"/>
                  <w:wBefore w:w="80" w:type="pct"/>
                  <w:trHeight w:val="815"/>
                  <w:tblCellSpacing w:w="15" w:type="dxa"/>
                </w:trPr>
                <w:tc>
                  <w:tcPr>
                    <w:tcW w:w="315" w:type="pct"/>
                    <w:gridSpan w:val="2"/>
                    <w:hideMark/>
                  </w:tcPr>
                  <w:p w:rsidR="000A69B9" w:rsidRDefault="000A69B9">
                    <w:pPr>
                      <w:pStyle w:val="Bibliography"/>
                      <w:rPr>
                        <w:noProof/>
                      </w:rPr>
                    </w:pPr>
                    <w:r>
                      <w:rPr>
                        <w:noProof/>
                      </w:rPr>
                      <w:t xml:space="preserve">[16] </w:t>
                    </w:r>
                  </w:p>
                </w:tc>
                <w:tc>
                  <w:tcPr>
                    <w:tcW w:w="4539" w:type="pct"/>
                    <w:gridSpan w:val="2"/>
                    <w:hideMark/>
                  </w:tcPr>
                  <w:p w:rsidR="000A69B9" w:rsidRDefault="000A69B9">
                    <w:pPr>
                      <w:pStyle w:val="Bibliography"/>
                      <w:rPr>
                        <w:noProof/>
                      </w:rPr>
                    </w:pPr>
                    <w:r>
                      <w:rPr>
                        <w:noProof/>
                      </w:rPr>
                      <w:t>NHS Fife Integrated Pain Management Service, “Chronic Pain Prescribing Strategy,” December 2016. [Online]. Available: https://www.therapeutics.scot.nhs.uk/pain/. [Accessed 13 11 2018].</w:t>
                    </w:r>
                  </w:p>
                </w:tc>
              </w:tr>
              <w:tr w:rsidR="000A69B9" w:rsidTr="00860D03">
                <w:trPr>
                  <w:gridBefore w:val="1"/>
                  <w:divId w:val="1858959515"/>
                  <w:wBefore w:w="80" w:type="pct"/>
                  <w:trHeight w:val="1132"/>
                  <w:tblCellSpacing w:w="15" w:type="dxa"/>
                </w:trPr>
                <w:tc>
                  <w:tcPr>
                    <w:tcW w:w="315" w:type="pct"/>
                    <w:gridSpan w:val="2"/>
                    <w:hideMark/>
                  </w:tcPr>
                  <w:p w:rsidR="000A69B9" w:rsidRDefault="000A69B9">
                    <w:pPr>
                      <w:pStyle w:val="Bibliography"/>
                      <w:rPr>
                        <w:noProof/>
                      </w:rPr>
                    </w:pPr>
                    <w:r>
                      <w:rPr>
                        <w:noProof/>
                      </w:rPr>
                      <w:t xml:space="preserve">[17] </w:t>
                    </w:r>
                  </w:p>
                </w:tc>
                <w:tc>
                  <w:tcPr>
                    <w:tcW w:w="4539" w:type="pct"/>
                    <w:gridSpan w:val="2"/>
                    <w:hideMark/>
                  </w:tcPr>
                  <w:p w:rsidR="000A69B9" w:rsidRDefault="000A69B9">
                    <w:pPr>
                      <w:pStyle w:val="Bibliography"/>
                      <w:rPr>
                        <w:noProof/>
                      </w:rPr>
                    </w:pPr>
                    <w:r>
                      <w:rPr>
                        <w:noProof/>
                      </w:rPr>
                      <w:t>National Records of Scotland, “Drug Related Deaths in Scotland,” 3 July 2017. [Online]. Available: https://www.nrscotland.gov.uk/statistics-and-data/statistics/statistics-by-theme/vital-events/deaths/drug-related-deaths-in-scotland. [Accessed 13 November 2018].</w:t>
                    </w:r>
                  </w:p>
                </w:tc>
              </w:tr>
              <w:tr w:rsidR="000A69B9" w:rsidTr="00860D03">
                <w:trPr>
                  <w:gridBefore w:val="1"/>
                  <w:divId w:val="1858959515"/>
                  <w:wBefore w:w="80" w:type="pct"/>
                  <w:trHeight w:val="830"/>
                  <w:tblCellSpacing w:w="15" w:type="dxa"/>
                </w:trPr>
                <w:tc>
                  <w:tcPr>
                    <w:tcW w:w="315" w:type="pct"/>
                    <w:gridSpan w:val="2"/>
                    <w:hideMark/>
                  </w:tcPr>
                  <w:p w:rsidR="000A69B9" w:rsidRDefault="000A69B9">
                    <w:pPr>
                      <w:pStyle w:val="Bibliography"/>
                      <w:rPr>
                        <w:noProof/>
                      </w:rPr>
                    </w:pPr>
                    <w:r>
                      <w:rPr>
                        <w:noProof/>
                      </w:rPr>
                      <w:t xml:space="preserve">[18] </w:t>
                    </w:r>
                  </w:p>
                </w:tc>
                <w:tc>
                  <w:tcPr>
                    <w:tcW w:w="4539" w:type="pct"/>
                    <w:gridSpan w:val="2"/>
                    <w:hideMark/>
                  </w:tcPr>
                  <w:p w:rsidR="000A69B9" w:rsidRDefault="000A69B9">
                    <w:pPr>
                      <w:pStyle w:val="Bibliography"/>
                      <w:rPr>
                        <w:noProof/>
                      </w:rPr>
                    </w:pPr>
                    <w:r>
                      <w:rPr>
                        <w:noProof/>
                      </w:rPr>
                      <w:t>P. Moore, “The Pain Toolkit,” 2018. [Online]. Available: https://www.paintoolkit.org/. [Accessed 13 November 2018].</w:t>
                    </w:r>
                  </w:p>
                </w:tc>
              </w:tr>
              <w:tr w:rsidR="000A69B9" w:rsidTr="00860D03">
                <w:trPr>
                  <w:gridBefore w:val="1"/>
                  <w:divId w:val="1858959515"/>
                  <w:wBefore w:w="80" w:type="pct"/>
                  <w:trHeight w:val="1132"/>
                  <w:tblCellSpacing w:w="15" w:type="dxa"/>
                </w:trPr>
                <w:tc>
                  <w:tcPr>
                    <w:tcW w:w="315" w:type="pct"/>
                    <w:gridSpan w:val="2"/>
                    <w:hideMark/>
                  </w:tcPr>
                  <w:p w:rsidR="000A69B9" w:rsidRDefault="000A69B9">
                    <w:pPr>
                      <w:pStyle w:val="Bibliography"/>
                      <w:rPr>
                        <w:noProof/>
                      </w:rPr>
                    </w:pPr>
                    <w:r>
                      <w:rPr>
                        <w:noProof/>
                      </w:rPr>
                      <w:t xml:space="preserve">[19] </w:t>
                    </w:r>
                  </w:p>
                </w:tc>
                <w:tc>
                  <w:tcPr>
                    <w:tcW w:w="4539" w:type="pct"/>
                    <w:gridSpan w:val="2"/>
                    <w:hideMark/>
                  </w:tcPr>
                  <w:p w:rsidR="000A69B9" w:rsidRDefault="000A69B9">
                    <w:pPr>
                      <w:pStyle w:val="Bibliography"/>
                      <w:rPr>
                        <w:noProof/>
                      </w:rPr>
                    </w:pPr>
                    <w:r>
                      <w:rPr>
                        <w:noProof/>
                      </w:rPr>
                      <w:t>Scottish Health Council, “Teach-back,” February 2014. [Online]. Available: http://www.scottishhealthcouncil.org/patient__public_participation/participation_toolkit/teach-back.aspx#.W-p-MU1LHbg. [Accessed 13 November 2018].</w:t>
                    </w:r>
                  </w:p>
                </w:tc>
              </w:tr>
              <w:tr w:rsidR="000A69B9" w:rsidTr="00860D03">
                <w:trPr>
                  <w:gridBefore w:val="1"/>
                  <w:divId w:val="1858959515"/>
                  <w:wBefore w:w="80" w:type="pct"/>
                  <w:trHeight w:val="1132"/>
                  <w:tblCellSpacing w:w="15" w:type="dxa"/>
                </w:trPr>
                <w:tc>
                  <w:tcPr>
                    <w:tcW w:w="315" w:type="pct"/>
                    <w:gridSpan w:val="2"/>
                    <w:hideMark/>
                  </w:tcPr>
                  <w:p w:rsidR="000A69B9" w:rsidRDefault="000A69B9">
                    <w:pPr>
                      <w:pStyle w:val="Bibliography"/>
                      <w:rPr>
                        <w:noProof/>
                      </w:rPr>
                    </w:pPr>
                    <w:r>
                      <w:rPr>
                        <w:noProof/>
                      </w:rPr>
                      <w:t xml:space="preserve">[20] </w:t>
                    </w:r>
                  </w:p>
                </w:tc>
                <w:tc>
                  <w:tcPr>
                    <w:tcW w:w="4539" w:type="pct"/>
                    <w:gridSpan w:val="2"/>
                    <w:hideMark/>
                  </w:tcPr>
                  <w:p w:rsidR="000A69B9" w:rsidRDefault="000A69B9">
                    <w:pPr>
                      <w:pStyle w:val="Bibliography"/>
                      <w:rPr>
                        <w:noProof/>
                      </w:rPr>
                    </w:pPr>
                    <w:r>
                      <w:rPr>
                        <w:noProof/>
                      </w:rPr>
                      <w:t>Smith et al, “Scottish School of Primary Care GP Clusters Briefing Paper 2,” 5 September 2016. [Online]. Available: http://www.sspc.ac.uk/media/media_484727_en.pdf. [Accessed 13 November 2018].</w:t>
                    </w:r>
                  </w:p>
                </w:tc>
              </w:tr>
            </w:tbl>
            <w:p w:rsidR="000A69B9" w:rsidRDefault="00B3152F">
              <w:r>
                <w:rPr>
                  <w:b/>
                  <w:bCs/>
                  <w:noProof/>
                </w:rPr>
                <w:fldChar w:fldCharType="end"/>
              </w:r>
            </w:p>
          </w:sdtContent>
        </w:sdt>
        <w:p w:rsidR="00414629" w:rsidRDefault="00657265"/>
      </w:sdtContent>
    </w:sdt>
    <w:p w:rsidR="00086CC7" w:rsidRDefault="00086CC7" w:rsidP="00F23336"/>
    <w:p w:rsidR="00086CC7" w:rsidRDefault="00086CC7" w:rsidP="00F23336"/>
    <w:sectPr w:rsidR="00086CC7" w:rsidSect="00860D03">
      <w:pgSz w:w="11906" w:h="16838"/>
      <w:pgMar w:top="1440" w:right="1559"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F28" w:rsidRDefault="00A76F28" w:rsidP="000A213E">
      <w:pPr>
        <w:spacing w:after="0" w:line="240" w:lineRule="auto"/>
      </w:pPr>
      <w:r>
        <w:separator/>
      </w:r>
    </w:p>
  </w:endnote>
  <w:endnote w:type="continuationSeparator" w:id="0">
    <w:p w:rsidR="00A76F28" w:rsidRDefault="00A76F28" w:rsidP="000A2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953007"/>
      <w:docPartObj>
        <w:docPartGallery w:val="Page Numbers (Bottom of Page)"/>
        <w:docPartUnique/>
      </w:docPartObj>
    </w:sdtPr>
    <w:sdtEndPr>
      <w:rPr>
        <w:noProof/>
      </w:rPr>
    </w:sdtEndPr>
    <w:sdtContent>
      <w:p w:rsidR="000A69B9" w:rsidRDefault="00B3152F">
        <w:pPr>
          <w:pStyle w:val="Footer"/>
          <w:jc w:val="right"/>
        </w:pPr>
        <w:r>
          <w:rPr>
            <w:noProof/>
          </w:rPr>
          <w:fldChar w:fldCharType="begin"/>
        </w:r>
        <w:r w:rsidR="000A69B9">
          <w:rPr>
            <w:noProof/>
          </w:rPr>
          <w:instrText xml:space="preserve"> PAGE   \* MERGEFORMAT </w:instrText>
        </w:r>
        <w:r>
          <w:rPr>
            <w:noProof/>
          </w:rPr>
          <w:fldChar w:fldCharType="separate"/>
        </w:r>
        <w:r w:rsidR="00657265">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F28" w:rsidRDefault="00A76F28" w:rsidP="000A213E">
      <w:pPr>
        <w:spacing w:after="0" w:line="240" w:lineRule="auto"/>
      </w:pPr>
      <w:r>
        <w:separator/>
      </w:r>
    </w:p>
  </w:footnote>
  <w:footnote w:type="continuationSeparator" w:id="0">
    <w:p w:rsidR="00A76F28" w:rsidRDefault="00A76F28" w:rsidP="000A213E">
      <w:pPr>
        <w:spacing w:after="0" w:line="240" w:lineRule="auto"/>
      </w:pPr>
      <w:r>
        <w:continuationSeparator/>
      </w:r>
    </w:p>
  </w:footnote>
  <w:footnote w:id="1">
    <w:p w:rsidR="00854ACC" w:rsidRDefault="00854ACC">
      <w:pPr>
        <w:pStyle w:val="FootnoteText"/>
      </w:pPr>
      <w:r>
        <w:rPr>
          <w:rStyle w:val="FootnoteReference"/>
        </w:rPr>
        <w:footnoteRef/>
      </w:r>
      <w:r>
        <w:t xml:space="preserve"> </w:t>
      </w:r>
      <w:r w:rsidRPr="00854ACC">
        <w:t>The validity of this tool for gabapentinoids has not been tested. Expert opinion suggests it may be helpful</w:t>
      </w:r>
      <w:r>
        <w:t>.</w:t>
      </w:r>
    </w:p>
  </w:footnote>
  <w:footnote w:id="2">
    <w:p w:rsidR="00657265" w:rsidRDefault="00657265" w:rsidP="00657265">
      <w:pPr>
        <w:pStyle w:val="FootnoteText"/>
      </w:pPr>
      <w:r>
        <w:rPr>
          <w:rStyle w:val="FootnoteReference"/>
        </w:rPr>
        <w:footnoteRef/>
      </w:r>
      <w:r>
        <w:t xml:space="preserve"> </w:t>
      </w:r>
      <w:r w:rsidRPr="002475A5">
        <w:rPr>
          <w:iCs/>
          <w:color w:val="000000" w:themeColor="text1"/>
        </w:rPr>
        <w:t>These numbers are from a bespoke Information Request from ISD to NRS</w:t>
      </w:r>
    </w:p>
  </w:footnote>
  <w:footnote w:id="3">
    <w:p w:rsidR="00854ACC" w:rsidRDefault="00854ACC">
      <w:pPr>
        <w:pStyle w:val="FootnoteText"/>
      </w:pPr>
      <w:r>
        <w:rPr>
          <w:rStyle w:val="FootnoteReference"/>
        </w:rPr>
        <w:footnoteRef/>
      </w:r>
      <w:r>
        <w:t xml:space="preserve"> </w:t>
      </w:r>
      <w:r w:rsidRPr="00854ACC">
        <w:t>Note earlier comments about evidence on dependence</w:t>
      </w:r>
      <w:r>
        <w:t>.</w:t>
      </w:r>
    </w:p>
  </w:footnote>
  <w:footnote w:id="4">
    <w:p w:rsidR="00854ACC" w:rsidRDefault="00854ACC">
      <w:pPr>
        <w:pStyle w:val="FootnoteText"/>
      </w:pPr>
      <w:r>
        <w:rPr>
          <w:rStyle w:val="FootnoteReference"/>
        </w:rPr>
        <w:footnoteRef/>
      </w:r>
      <w:r>
        <w:t xml:space="preserve"> </w:t>
      </w:r>
      <w:r w:rsidRPr="00854ACC">
        <w:t>The screenshots contains dummy data – no real patient information is displayed</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501"/>
    <w:multiLevelType w:val="hybridMultilevel"/>
    <w:tmpl w:val="D4B80F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5B121D"/>
    <w:multiLevelType w:val="hybridMultilevel"/>
    <w:tmpl w:val="47806E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735404"/>
    <w:multiLevelType w:val="hybridMultilevel"/>
    <w:tmpl w:val="B9C437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511092"/>
    <w:multiLevelType w:val="hybridMultilevel"/>
    <w:tmpl w:val="EB244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B80624"/>
    <w:multiLevelType w:val="hybridMultilevel"/>
    <w:tmpl w:val="7758F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1A5466"/>
    <w:multiLevelType w:val="hybridMultilevel"/>
    <w:tmpl w:val="D952E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24679C"/>
    <w:multiLevelType w:val="hybridMultilevel"/>
    <w:tmpl w:val="4E209F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CE92BAA"/>
    <w:multiLevelType w:val="hybridMultilevel"/>
    <w:tmpl w:val="428EA2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2E70067"/>
    <w:multiLevelType w:val="hybridMultilevel"/>
    <w:tmpl w:val="1AAE0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A260991"/>
    <w:multiLevelType w:val="hybridMultilevel"/>
    <w:tmpl w:val="76BCAE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F593D5D"/>
    <w:multiLevelType w:val="hybridMultilevel"/>
    <w:tmpl w:val="CE4CE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1"/>
  </w:num>
  <w:num w:numId="4">
    <w:abstractNumId w:val="7"/>
  </w:num>
  <w:num w:numId="5">
    <w:abstractNumId w:val="9"/>
  </w:num>
  <w:num w:numId="6">
    <w:abstractNumId w:val="10"/>
  </w:num>
  <w:num w:numId="7">
    <w:abstractNumId w:val="8"/>
  </w:num>
  <w:num w:numId="8">
    <w:abstractNumId w:val="2"/>
  </w:num>
  <w:num w:numId="9">
    <w:abstractNumId w:val="6"/>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1B"/>
    <w:rsid w:val="000116C0"/>
    <w:rsid w:val="00024579"/>
    <w:rsid w:val="00081605"/>
    <w:rsid w:val="00082E9F"/>
    <w:rsid w:val="00085BC7"/>
    <w:rsid w:val="00086CC7"/>
    <w:rsid w:val="00096C25"/>
    <w:rsid w:val="00097C20"/>
    <w:rsid w:val="000A213E"/>
    <w:rsid w:val="000A69B9"/>
    <w:rsid w:val="000B06C4"/>
    <w:rsid w:val="000D37CF"/>
    <w:rsid w:val="000E2F86"/>
    <w:rsid w:val="000F2A72"/>
    <w:rsid w:val="000F4134"/>
    <w:rsid w:val="000F5780"/>
    <w:rsid w:val="000F5853"/>
    <w:rsid w:val="000F7A1D"/>
    <w:rsid w:val="0010327C"/>
    <w:rsid w:val="00105811"/>
    <w:rsid w:val="00110C1E"/>
    <w:rsid w:val="00117075"/>
    <w:rsid w:val="00122325"/>
    <w:rsid w:val="00123E54"/>
    <w:rsid w:val="0012559E"/>
    <w:rsid w:val="001272BD"/>
    <w:rsid w:val="00137A08"/>
    <w:rsid w:val="00141D8A"/>
    <w:rsid w:val="00146A48"/>
    <w:rsid w:val="001660C7"/>
    <w:rsid w:val="00166D88"/>
    <w:rsid w:val="0017315A"/>
    <w:rsid w:val="00175A95"/>
    <w:rsid w:val="00177E4B"/>
    <w:rsid w:val="001859FD"/>
    <w:rsid w:val="001933CE"/>
    <w:rsid w:val="001A30CB"/>
    <w:rsid w:val="001B5749"/>
    <w:rsid w:val="001B64BF"/>
    <w:rsid w:val="001E0CE4"/>
    <w:rsid w:val="00233D4B"/>
    <w:rsid w:val="002475A5"/>
    <w:rsid w:val="00256F34"/>
    <w:rsid w:val="0025792F"/>
    <w:rsid w:val="002713FE"/>
    <w:rsid w:val="002859A8"/>
    <w:rsid w:val="002D4135"/>
    <w:rsid w:val="002E540C"/>
    <w:rsid w:val="00313B8D"/>
    <w:rsid w:val="00324B80"/>
    <w:rsid w:val="00330617"/>
    <w:rsid w:val="00340265"/>
    <w:rsid w:val="00340F53"/>
    <w:rsid w:val="00367CF9"/>
    <w:rsid w:val="003701A5"/>
    <w:rsid w:val="00371B5B"/>
    <w:rsid w:val="00374266"/>
    <w:rsid w:val="003968F3"/>
    <w:rsid w:val="00396989"/>
    <w:rsid w:val="003A212F"/>
    <w:rsid w:val="003A2A7D"/>
    <w:rsid w:val="003A5F56"/>
    <w:rsid w:val="003A6254"/>
    <w:rsid w:val="003B0717"/>
    <w:rsid w:val="003E1F15"/>
    <w:rsid w:val="003F15AB"/>
    <w:rsid w:val="00412996"/>
    <w:rsid w:val="00414629"/>
    <w:rsid w:val="00423288"/>
    <w:rsid w:val="00443F46"/>
    <w:rsid w:val="00450BE2"/>
    <w:rsid w:val="00452208"/>
    <w:rsid w:val="00456A29"/>
    <w:rsid w:val="0046304C"/>
    <w:rsid w:val="004751BD"/>
    <w:rsid w:val="0047694F"/>
    <w:rsid w:val="00487415"/>
    <w:rsid w:val="004A597C"/>
    <w:rsid w:val="004A73C5"/>
    <w:rsid w:val="004B02D3"/>
    <w:rsid w:val="004C30E1"/>
    <w:rsid w:val="004D076F"/>
    <w:rsid w:val="004E20F5"/>
    <w:rsid w:val="004E7A60"/>
    <w:rsid w:val="004F0C7A"/>
    <w:rsid w:val="00506437"/>
    <w:rsid w:val="005232D1"/>
    <w:rsid w:val="005249E5"/>
    <w:rsid w:val="005312F1"/>
    <w:rsid w:val="00534B2C"/>
    <w:rsid w:val="00541FCA"/>
    <w:rsid w:val="005443D5"/>
    <w:rsid w:val="005500E1"/>
    <w:rsid w:val="00565501"/>
    <w:rsid w:val="00572066"/>
    <w:rsid w:val="0058237A"/>
    <w:rsid w:val="00590511"/>
    <w:rsid w:val="005A0324"/>
    <w:rsid w:val="005A03F3"/>
    <w:rsid w:val="005A1A6C"/>
    <w:rsid w:val="005B05F1"/>
    <w:rsid w:val="005B1FB3"/>
    <w:rsid w:val="005C113F"/>
    <w:rsid w:val="005C3ECB"/>
    <w:rsid w:val="00602114"/>
    <w:rsid w:val="00610FE4"/>
    <w:rsid w:val="0061285E"/>
    <w:rsid w:val="006136C7"/>
    <w:rsid w:val="00613EEC"/>
    <w:rsid w:val="00615E4A"/>
    <w:rsid w:val="00621598"/>
    <w:rsid w:val="00626E4E"/>
    <w:rsid w:val="006430BD"/>
    <w:rsid w:val="00644759"/>
    <w:rsid w:val="00646232"/>
    <w:rsid w:val="0064701D"/>
    <w:rsid w:val="00651E83"/>
    <w:rsid w:val="00657265"/>
    <w:rsid w:val="006610C9"/>
    <w:rsid w:val="00670384"/>
    <w:rsid w:val="00674ACB"/>
    <w:rsid w:val="00682C52"/>
    <w:rsid w:val="00693934"/>
    <w:rsid w:val="00696DBC"/>
    <w:rsid w:val="00697BE7"/>
    <w:rsid w:val="006A3C9A"/>
    <w:rsid w:val="006A4620"/>
    <w:rsid w:val="006F7C89"/>
    <w:rsid w:val="00701E5A"/>
    <w:rsid w:val="007070F0"/>
    <w:rsid w:val="007071D3"/>
    <w:rsid w:val="00710105"/>
    <w:rsid w:val="00712EDB"/>
    <w:rsid w:val="00730E99"/>
    <w:rsid w:val="007437F4"/>
    <w:rsid w:val="00757828"/>
    <w:rsid w:val="007605F3"/>
    <w:rsid w:val="007650D7"/>
    <w:rsid w:val="00774826"/>
    <w:rsid w:val="00784B1D"/>
    <w:rsid w:val="00791072"/>
    <w:rsid w:val="007922D0"/>
    <w:rsid w:val="007A39BC"/>
    <w:rsid w:val="007B2EA0"/>
    <w:rsid w:val="007C63BA"/>
    <w:rsid w:val="007E0D41"/>
    <w:rsid w:val="007F1F7A"/>
    <w:rsid w:val="00812CBD"/>
    <w:rsid w:val="008142ED"/>
    <w:rsid w:val="00815E59"/>
    <w:rsid w:val="00816C1B"/>
    <w:rsid w:val="00852220"/>
    <w:rsid w:val="00854ACC"/>
    <w:rsid w:val="00857850"/>
    <w:rsid w:val="00860D03"/>
    <w:rsid w:val="008645E6"/>
    <w:rsid w:val="0086529E"/>
    <w:rsid w:val="00866C5F"/>
    <w:rsid w:val="00883A8D"/>
    <w:rsid w:val="00890C45"/>
    <w:rsid w:val="008B364B"/>
    <w:rsid w:val="008C4B5F"/>
    <w:rsid w:val="008D070B"/>
    <w:rsid w:val="008D23F5"/>
    <w:rsid w:val="008E4555"/>
    <w:rsid w:val="009073B5"/>
    <w:rsid w:val="00932898"/>
    <w:rsid w:val="00940A6E"/>
    <w:rsid w:val="00960224"/>
    <w:rsid w:val="00975433"/>
    <w:rsid w:val="0097554E"/>
    <w:rsid w:val="00990525"/>
    <w:rsid w:val="00995487"/>
    <w:rsid w:val="009A3F26"/>
    <w:rsid w:val="009A7BC9"/>
    <w:rsid w:val="009C26E5"/>
    <w:rsid w:val="009C29F3"/>
    <w:rsid w:val="009D5098"/>
    <w:rsid w:val="00A07DA9"/>
    <w:rsid w:val="00A14C3E"/>
    <w:rsid w:val="00A22AB0"/>
    <w:rsid w:val="00A333EE"/>
    <w:rsid w:val="00A43AB8"/>
    <w:rsid w:val="00A44AFE"/>
    <w:rsid w:val="00A5680C"/>
    <w:rsid w:val="00A7219A"/>
    <w:rsid w:val="00A76F28"/>
    <w:rsid w:val="00A77512"/>
    <w:rsid w:val="00AB0F99"/>
    <w:rsid w:val="00AB4CF8"/>
    <w:rsid w:val="00AC409B"/>
    <w:rsid w:val="00AF2959"/>
    <w:rsid w:val="00AF7839"/>
    <w:rsid w:val="00AF7DBF"/>
    <w:rsid w:val="00B00636"/>
    <w:rsid w:val="00B05B87"/>
    <w:rsid w:val="00B064F5"/>
    <w:rsid w:val="00B126C6"/>
    <w:rsid w:val="00B143A0"/>
    <w:rsid w:val="00B3152F"/>
    <w:rsid w:val="00B402DA"/>
    <w:rsid w:val="00B60B0C"/>
    <w:rsid w:val="00B802A4"/>
    <w:rsid w:val="00B81D31"/>
    <w:rsid w:val="00BB7723"/>
    <w:rsid w:val="00C050D5"/>
    <w:rsid w:val="00C10824"/>
    <w:rsid w:val="00C227D9"/>
    <w:rsid w:val="00C23A44"/>
    <w:rsid w:val="00C43255"/>
    <w:rsid w:val="00C50A2D"/>
    <w:rsid w:val="00C551B2"/>
    <w:rsid w:val="00C56C00"/>
    <w:rsid w:val="00C83145"/>
    <w:rsid w:val="00C856F7"/>
    <w:rsid w:val="00C858C2"/>
    <w:rsid w:val="00C93CC7"/>
    <w:rsid w:val="00CC6D0C"/>
    <w:rsid w:val="00CE6EF4"/>
    <w:rsid w:val="00D01409"/>
    <w:rsid w:val="00D06848"/>
    <w:rsid w:val="00D06CFF"/>
    <w:rsid w:val="00D222E0"/>
    <w:rsid w:val="00D31AA2"/>
    <w:rsid w:val="00D3325C"/>
    <w:rsid w:val="00D35E3A"/>
    <w:rsid w:val="00D53CAE"/>
    <w:rsid w:val="00D65925"/>
    <w:rsid w:val="00D8161B"/>
    <w:rsid w:val="00DA292A"/>
    <w:rsid w:val="00DA7962"/>
    <w:rsid w:val="00DB3B54"/>
    <w:rsid w:val="00DB4642"/>
    <w:rsid w:val="00DB73F6"/>
    <w:rsid w:val="00DC1AB4"/>
    <w:rsid w:val="00DD2629"/>
    <w:rsid w:val="00DD3A3B"/>
    <w:rsid w:val="00DE13FE"/>
    <w:rsid w:val="00DE62CD"/>
    <w:rsid w:val="00DF2DC7"/>
    <w:rsid w:val="00DF3194"/>
    <w:rsid w:val="00DF5213"/>
    <w:rsid w:val="00DF7B30"/>
    <w:rsid w:val="00E14538"/>
    <w:rsid w:val="00E17F83"/>
    <w:rsid w:val="00E22EC3"/>
    <w:rsid w:val="00E274B9"/>
    <w:rsid w:val="00E27508"/>
    <w:rsid w:val="00E344E0"/>
    <w:rsid w:val="00E432DA"/>
    <w:rsid w:val="00E532D2"/>
    <w:rsid w:val="00E57D5C"/>
    <w:rsid w:val="00E66F38"/>
    <w:rsid w:val="00E9128D"/>
    <w:rsid w:val="00E955A2"/>
    <w:rsid w:val="00E97F9F"/>
    <w:rsid w:val="00EA027D"/>
    <w:rsid w:val="00EA0C3B"/>
    <w:rsid w:val="00EA20E4"/>
    <w:rsid w:val="00EA6004"/>
    <w:rsid w:val="00EC1D5C"/>
    <w:rsid w:val="00ED02E9"/>
    <w:rsid w:val="00EF24B8"/>
    <w:rsid w:val="00EF3395"/>
    <w:rsid w:val="00F11BAE"/>
    <w:rsid w:val="00F11CF8"/>
    <w:rsid w:val="00F143B5"/>
    <w:rsid w:val="00F20BDC"/>
    <w:rsid w:val="00F23336"/>
    <w:rsid w:val="00F56B70"/>
    <w:rsid w:val="00F6182C"/>
    <w:rsid w:val="00F71FC1"/>
    <w:rsid w:val="00F75542"/>
    <w:rsid w:val="00F75F83"/>
    <w:rsid w:val="00F94645"/>
    <w:rsid w:val="00FB5B39"/>
    <w:rsid w:val="00FC4A77"/>
    <w:rsid w:val="00FF3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5:docId w15:val="{6D79F55B-A9D1-442A-8BC7-2E05D3B3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82C"/>
  </w:style>
  <w:style w:type="paragraph" w:styleId="Heading1">
    <w:name w:val="heading 1"/>
    <w:basedOn w:val="Normal"/>
    <w:next w:val="Normal"/>
    <w:link w:val="Heading1Char"/>
    <w:uiPriority w:val="9"/>
    <w:qFormat/>
    <w:rsid w:val="00A44A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912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AF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44AFE"/>
    <w:rPr>
      <w:color w:val="0000FF" w:themeColor="hyperlink"/>
      <w:u w:val="single"/>
    </w:rPr>
  </w:style>
  <w:style w:type="table" w:styleId="TableGrid">
    <w:name w:val="Table Grid"/>
    <w:basedOn w:val="TableNormal"/>
    <w:uiPriority w:val="59"/>
    <w:rsid w:val="00A44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AFE"/>
    <w:pPr>
      <w:ind w:left="720"/>
      <w:contextualSpacing/>
    </w:pPr>
  </w:style>
  <w:style w:type="paragraph" w:customStyle="1" w:styleId="Default">
    <w:name w:val="Default"/>
    <w:rsid w:val="00A44AFE"/>
    <w:pPr>
      <w:widowControl w:val="0"/>
      <w:autoSpaceDE w:val="0"/>
      <w:autoSpaceDN w:val="0"/>
      <w:adjustRightInd w:val="0"/>
      <w:spacing w:after="0" w:line="240" w:lineRule="auto"/>
    </w:pPr>
    <w:rPr>
      <w:rFonts w:ascii="Arial" w:eastAsiaTheme="minorEastAsia" w:hAnsi="Arial" w:cs="Arial"/>
      <w:color w:val="000000"/>
      <w:sz w:val="24"/>
      <w:szCs w:val="24"/>
      <w:lang w:eastAsia="en-GB"/>
    </w:rPr>
  </w:style>
  <w:style w:type="paragraph" w:customStyle="1" w:styleId="CM22">
    <w:name w:val="CM22"/>
    <w:basedOn w:val="Default"/>
    <w:next w:val="Default"/>
    <w:uiPriority w:val="99"/>
    <w:rsid w:val="00A44AFE"/>
    <w:rPr>
      <w:color w:val="auto"/>
    </w:rPr>
  </w:style>
  <w:style w:type="paragraph" w:styleId="Header">
    <w:name w:val="header"/>
    <w:basedOn w:val="Normal"/>
    <w:link w:val="HeaderChar"/>
    <w:uiPriority w:val="99"/>
    <w:unhideWhenUsed/>
    <w:rsid w:val="000A21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13E"/>
  </w:style>
  <w:style w:type="paragraph" w:styleId="Footer">
    <w:name w:val="footer"/>
    <w:basedOn w:val="Normal"/>
    <w:link w:val="FooterChar"/>
    <w:uiPriority w:val="99"/>
    <w:unhideWhenUsed/>
    <w:rsid w:val="000A21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13E"/>
  </w:style>
  <w:style w:type="paragraph" w:styleId="BalloonText">
    <w:name w:val="Balloon Text"/>
    <w:basedOn w:val="Normal"/>
    <w:link w:val="BalloonTextChar"/>
    <w:uiPriority w:val="99"/>
    <w:semiHidden/>
    <w:unhideWhenUsed/>
    <w:rsid w:val="00D35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E3A"/>
    <w:rPr>
      <w:rFonts w:ascii="Tahoma" w:hAnsi="Tahoma" w:cs="Tahoma"/>
      <w:sz w:val="16"/>
      <w:szCs w:val="16"/>
    </w:rPr>
  </w:style>
  <w:style w:type="character" w:styleId="CommentReference">
    <w:name w:val="annotation reference"/>
    <w:basedOn w:val="DefaultParagraphFont"/>
    <w:uiPriority w:val="99"/>
    <w:semiHidden/>
    <w:unhideWhenUsed/>
    <w:rsid w:val="00B60B0C"/>
    <w:rPr>
      <w:sz w:val="16"/>
      <w:szCs w:val="16"/>
    </w:rPr>
  </w:style>
  <w:style w:type="paragraph" w:styleId="CommentText">
    <w:name w:val="annotation text"/>
    <w:basedOn w:val="Normal"/>
    <w:link w:val="CommentTextChar"/>
    <w:uiPriority w:val="99"/>
    <w:semiHidden/>
    <w:unhideWhenUsed/>
    <w:rsid w:val="00B60B0C"/>
    <w:pPr>
      <w:spacing w:line="240" w:lineRule="auto"/>
    </w:pPr>
    <w:rPr>
      <w:sz w:val="20"/>
      <w:szCs w:val="20"/>
    </w:rPr>
  </w:style>
  <w:style w:type="character" w:customStyle="1" w:styleId="CommentTextChar">
    <w:name w:val="Comment Text Char"/>
    <w:basedOn w:val="DefaultParagraphFont"/>
    <w:link w:val="CommentText"/>
    <w:uiPriority w:val="99"/>
    <w:semiHidden/>
    <w:rsid w:val="00B60B0C"/>
    <w:rPr>
      <w:sz w:val="20"/>
      <w:szCs w:val="20"/>
    </w:rPr>
  </w:style>
  <w:style w:type="paragraph" w:styleId="CommentSubject">
    <w:name w:val="annotation subject"/>
    <w:basedOn w:val="CommentText"/>
    <w:next w:val="CommentText"/>
    <w:link w:val="CommentSubjectChar"/>
    <w:uiPriority w:val="99"/>
    <w:semiHidden/>
    <w:unhideWhenUsed/>
    <w:rsid w:val="00B60B0C"/>
    <w:rPr>
      <w:b/>
      <w:bCs/>
    </w:rPr>
  </w:style>
  <w:style w:type="character" w:customStyle="1" w:styleId="CommentSubjectChar">
    <w:name w:val="Comment Subject Char"/>
    <w:basedOn w:val="CommentTextChar"/>
    <w:link w:val="CommentSubject"/>
    <w:uiPriority w:val="99"/>
    <w:semiHidden/>
    <w:rsid w:val="00B60B0C"/>
    <w:rPr>
      <w:b/>
      <w:bCs/>
      <w:sz w:val="20"/>
      <w:szCs w:val="20"/>
    </w:rPr>
  </w:style>
  <w:style w:type="paragraph" w:styleId="TOCHeading">
    <w:name w:val="TOC Heading"/>
    <w:basedOn w:val="Heading1"/>
    <w:next w:val="Normal"/>
    <w:uiPriority w:val="39"/>
    <w:semiHidden/>
    <w:unhideWhenUsed/>
    <w:qFormat/>
    <w:rsid w:val="00D06848"/>
    <w:pPr>
      <w:outlineLvl w:val="9"/>
    </w:pPr>
    <w:rPr>
      <w:lang w:val="en-US" w:eastAsia="ja-JP"/>
    </w:rPr>
  </w:style>
  <w:style w:type="paragraph" w:styleId="TOC1">
    <w:name w:val="toc 1"/>
    <w:basedOn w:val="Normal"/>
    <w:next w:val="Normal"/>
    <w:autoRedefine/>
    <w:uiPriority w:val="39"/>
    <w:unhideWhenUsed/>
    <w:rsid w:val="00D06848"/>
    <w:pPr>
      <w:spacing w:after="100"/>
    </w:pPr>
  </w:style>
  <w:style w:type="paragraph" w:styleId="FootnoteText">
    <w:name w:val="footnote text"/>
    <w:basedOn w:val="Normal"/>
    <w:link w:val="FootnoteTextChar"/>
    <w:uiPriority w:val="99"/>
    <w:unhideWhenUsed/>
    <w:rsid w:val="007605F3"/>
    <w:pPr>
      <w:spacing w:after="0" w:line="240" w:lineRule="auto"/>
    </w:pPr>
    <w:rPr>
      <w:sz w:val="20"/>
      <w:szCs w:val="20"/>
    </w:rPr>
  </w:style>
  <w:style w:type="character" w:customStyle="1" w:styleId="FootnoteTextChar">
    <w:name w:val="Footnote Text Char"/>
    <w:basedOn w:val="DefaultParagraphFont"/>
    <w:link w:val="FootnoteText"/>
    <w:uiPriority w:val="99"/>
    <w:rsid w:val="007605F3"/>
    <w:rPr>
      <w:sz w:val="20"/>
      <w:szCs w:val="20"/>
    </w:rPr>
  </w:style>
  <w:style w:type="character" w:styleId="FootnoteReference">
    <w:name w:val="footnote reference"/>
    <w:basedOn w:val="DefaultParagraphFont"/>
    <w:uiPriority w:val="99"/>
    <w:unhideWhenUsed/>
    <w:rsid w:val="007605F3"/>
    <w:rPr>
      <w:vertAlign w:val="superscript"/>
    </w:rPr>
  </w:style>
  <w:style w:type="character" w:customStyle="1" w:styleId="Heading2Char">
    <w:name w:val="Heading 2 Char"/>
    <w:basedOn w:val="DefaultParagraphFont"/>
    <w:link w:val="Heading2"/>
    <w:uiPriority w:val="9"/>
    <w:rsid w:val="00E9128D"/>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4D076F"/>
    <w:pPr>
      <w:spacing w:after="100"/>
      <w:ind w:left="220"/>
    </w:pPr>
  </w:style>
  <w:style w:type="paragraph" w:styleId="NoSpacing">
    <w:name w:val="No Spacing"/>
    <w:uiPriority w:val="1"/>
    <w:qFormat/>
    <w:rsid w:val="004D076F"/>
    <w:pPr>
      <w:spacing w:after="0" w:line="240" w:lineRule="auto"/>
    </w:pPr>
    <w:rPr>
      <w:rFonts w:eastAsiaTheme="minorEastAsia"/>
      <w:lang w:eastAsia="en-GB"/>
    </w:rPr>
  </w:style>
  <w:style w:type="character" w:styleId="FollowedHyperlink">
    <w:name w:val="FollowedHyperlink"/>
    <w:basedOn w:val="DefaultParagraphFont"/>
    <w:uiPriority w:val="99"/>
    <w:semiHidden/>
    <w:unhideWhenUsed/>
    <w:rsid w:val="005500E1"/>
    <w:rPr>
      <w:color w:val="800080" w:themeColor="followedHyperlink"/>
      <w:u w:val="single"/>
    </w:rPr>
  </w:style>
  <w:style w:type="paragraph" w:styleId="NormalWeb">
    <w:name w:val="Normal (Web)"/>
    <w:basedOn w:val="Normal"/>
    <w:uiPriority w:val="99"/>
    <w:semiHidden/>
    <w:unhideWhenUsed/>
    <w:rsid w:val="007922D0"/>
    <w:pPr>
      <w:spacing w:before="100" w:beforeAutospacing="1" w:after="100" w:afterAutospacing="1" w:line="240" w:lineRule="auto"/>
    </w:pPr>
    <w:rPr>
      <w:rFonts w:ascii="Times New Roman" w:eastAsiaTheme="minorEastAsia" w:hAnsi="Times New Roman" w:cs="Times New Roman"/>
      <w:sz w:val="24"/>
      <w:szCs w:val="24"/>
    </w:rPr>
  </w:style>
  <w:style w:type="character" w:styleId="Emphasis">
    <w:name w:val="Emphasis"/>
    <w:basedOn w:val="DefaultParagraphFont"/>
    <w:uiPriority w:val="20"/>
    <w:qFormat/>
    <w:rsid w:val="00F75542"/>
    <w:rPr>
      <w:i/>
      <w:iCs/>
    </w:rPr>
  </w:style>
  <w:style w:type="paragraph" w:styleId="EndnoteText">
    <w:name w:val="endnote text"/>
    <w:basedOn w:val="Normal"/>
    <w:link w:val="EndnoteTextChar"/>
    <w:uiPriority w:val="99"/>
    <w:unhideWhenUsed/>
    <w:rsid w:val="00F75542"/>
    <w:pPr>
      <w:spacing w:after="0" w:line="240" w:lineRule="auto"/>
    </w:pPr>
    <w:rPr>
      <w:sz w:val="20"/>
      <w:szCs w:val="20"/>
    </w:rPr>
  </w:style>
  <w:style w:type="character" w:customStyle="1" w:styleId="EndnoteTextChar">
    <w:name w:val="Endnote Text Char"/>
    <w:basedOn w:val="DefaultParagraphFont"/>
    <w:link w:val="EndnoteText"/>
    <w:uiPriority w:val="99"/>
    <w:rsid w:val="00F75542"/>
    <w:rPr>
      <w:sz w:val="20"/>
      <w:szCs w:val="20"/>
    </w:rPr>
  </w:style>
  <w:style w:type="character" w:styleId="EndnoteReference">
    <w:name w:val="endnote reference"/>
    <w:basedOn w:val="DefaultParagraphFont"/>
    <w:uiPriority w:val="99"/>
    <w:semiHidden/>
    <w:unhideWhenUsed/>
    <w:rsid w:val="00F75542"/>
    <w:rPr>
      <w:vertAlign w:val="superscript"/>
    </w:rPr>
  </w:style>
  <w:style w:type="paragraph" w:styleId="Bibliography">
    <w:name w:val="Bibliography"/>
    <w:basedOn w:val="Normal"/>
    <w:next w:val="Normal"/>
    <w:uiPriority w:val="37"/>
    <w:unhideWhenUsed/>
    <w:rsid w:val="00FC4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4">
      <w:bodyDiv w:val="1"/>
      <w:marLeft w:val="0"/>
      <w:marRight w:val="0"/>
      <w:marTop w:val="0"/>
      <w:marBottom w:val="0"/>
      <w:divBdr>
        <w:top w:val="none" w:sz="0" w:space="0" w:color="auto"/>
        <w:left w:val="none" w:sz="0" w:space="0" w:color="auto"/>
        <w:bottom w:val="none" w:sz="0" w:space="0" w:color="auto"/>
        <w:right w:val="none" w:sz="0" w:space="0" w:color="auto"/>
      </w:divBdr>
    </w:div>
    <w:div w:id="8610544">
      <w:bodyDiv w:val="1"/>
      <w:marLeft w:val="0"/>
      <w:marRight w:val="0"/>
      <w:marTop w:val="0"/>
      <w:marBottom w:val="0"/>
      <w:divBdr>
        <w:top w:val="none" w:sz="0" w:space="0" w:color="auto"/>
        <w:left w:val="none" w:sz="0" w:space="0" w:color="auto"/>
        <w:bottom w:val="none" w:sz="0" w:space="0" w:color="auto"/>
        <w:right w:val="none" w:sz="0" w:space="0" w:color="auto"/>
      </w:divBdr>
    </w:div>
    <w:div w:id="11077106">
      <w:bodyDiv w:val="1"/>
      <w:marLeft w:val="0"/>
      <w:marRight w:val="0"/>
      <w:marTop w:val="0"/>
      <w:marBottom w:val="0"/>
      <w:divBdr>
        <w:top w:val="none" w:sz="0" w:space="0" w:color="auto"/>
        <w:left w:val="none" w:sz="0" w:space="0" w:color="auto"/>
        <w:bottom w:val="none" w:sz="0" w:space="0" w:color="auto"/>
        <w:right w:val="none" w:sz="0" w:space="0" w:color="auto"/>
      </w:divBdr>
    </w:div>
    <w:div w:id="29847287">
      <w:bodyDiv w:val="1"/>
      <w:marLeft w:val="0"/>
      <w:marRight w:val="0"/>
      <w:marTop w:val="0"/>
      <w:marBottom w:val="0"/>
      <w:divBdr>
        <w:top w:val="none" w:sz="0" w:space="0" w:color="auto"/>
        <w:left w:val="none" w:sz="0" w:space="0" w:color="auto"/>
        <w:bottom w:val="none" w:sz="0" w:space="0" w:color="auto"/>
        <w:right w:val="none" w:sz="0" w:space="0" w:color="auto"/>
      </w:divBdr>
    </w:div>
    <w:div w:id="47415134">
      <w:bodyDiv w:val="1"/>
      <w:marLeft w:val="0"/>
      <w:marRight w:val="0"/>
      <w:marTop w:val="0"/>
      <w:marBottom w:val="0"/>
      <w:divBdr>
        <w:top w:val="none" w:sz="0" w:space="0" w:color="auto"/>
        <w:left w:val="none" w:sz="0" w:space="0" w:color="auto"/>
        <w:bottom w:val="none" w:sz="0" w:space="0" w:color="auto"/>
        <w:right w:val="none" w:sz="0" w:space="0" w:color="auto"/>
      </w:divBdr>
    </w:div>
    <w:div w:id="70542131">
      <w:bodyDiv w:val="1"/>
      <w:marLeft w:val="0"/>
      <w:marRight w:val="0"/>
      <w:marTop w:val="0"/>
      <w:marBottom w:val="0"/>
      <w:divBdr>
        <w:top w:val="none" w:sz="0" w:space="0" w:color="auto"/>
        <w:left w:val="none" w:sz="0" w:space="0" w:color="auto"/>
        <w:bottom w:val="none" w:sz="0" w:space="0" w:color="auto"/>
        <w:right w:val="none" w:sz="0" w:space="0" w:color="auto"/>
      </w:divBdr>
    </w:div>
    <w:div w:id="72360662">
      <w:bodyDiv w:val="1"/>
      <w:marLeft w:val="0"/>
      <w:marRight w:val="0"/>
      <w:marTop w:val="0"/>
      <w:marBottom w:val="0"/>
      <w:divBdr>
        <w:top w:val="none" w:sz="0" w:space="0" w:color="auto"/>
        <w:left w:val="none" w:sz="0" w:space="0" w:color="auto"/>
        <w:bottom w:val="none" w:sz="0" w:space="0" w:color="auto"/>
        <w:right w:val="none" w:sz="0" w:space="0" w:color="auto"/>
      </w:divBdr>
    </w:div>
    <w:div w:id="77289458">
      <w:bodyDiv w:val="1"/>
      <w:marLeft w:val="0"/>
      <w:marRight w:val="0"/>
      <w:marTop w:val="0"/>
      <w:marBottom w:val="0"/>
      <w:divBdr>
        <w:top w:val="none" w:sz="0" w:space="0" w:color="auto"/>
        <w:left w:val="none" w:sz="0" w:space="0" w:color="auto"/>
        <w:bottom w:val="none" w:sz="0" w:space="0" w:color="auto"/>
        <w:right w:val="none" w:sz="0" w:space="0" w:color="auto"/>
      </w:divBdr>
    </w:div>
    <w:div w:id="152262069">
      <w:bodyDiv w:val="1"/>
      <w:marLeft w:val="0"/>
      <w:marRight w:val="0"/>
      <w:marTop w:val="0"/>
      <w:marBottom w:val="0"/>
      <w:divBdr>
        <w:top w:val="none" w:sz="0" w:space="0" w:color="auto"/>
        <w:left w:val="none" w:sz="0" w:space="0" w:color="auto"/>
        <w:bottom w:val="none" w:sz="0" w:space="0" w:color="auto"/>
        <w:right w:val="none" w:sz="0" w:space="0" w:color="auto"/>
      </w:divBdr>
    </w:div>
    <w:div w:id="189882596">
      <w:bodyDiv w:val="1"/>
      <w:marLeft w:val="0"/>
      <w:marRight w:val="0"/>
      <w:marTop w:val="0"/>
      <w:marBottom w:val="0"/>
      <w:divBdr>
        <w:top w:val="none" w:sz="0" w:space="0" w:color="auto"/>
        <w:left w:val="none" w:sz="0" w:space="0" w:color="auto"/>
        <w:bottom w:val="none" w:sz="0" w:space="0" w:color="auto"/>
        <w:right w:val="none" w:sz="0" w:space="0" w:color="auto"/>
      </w:divBdr>
    </w:div>
    <w:div w:id="201066223">
      <w:bodyDiv w:val="1"/>
      <w:marLeft w:val="0"/>
      <w:marRight w:val="0"/>
      <w:marTop w:val="0"/>
      <w:marBottom w:val="0"/>
      <w:divBdr>
        <w:top w:val="none" w:sz="0" w:space="0" w:color="auto"/>
        <w:left w:val="none" w:sz="0" w:space="0" w:color="auto"/>
        <w:bottom w:val="none" w:sz="0" w:space="0" w:color="auto"/>
        <w:right w:val="none" w:sz="0" w:space="0" w:color="auto"/>
      </w:divBdr>
    </w:div>
    <w:div w:id="207571090">
      <w:bodyDiv w:val="1"/>
      <w:marLeft w:val="0"/>
      <w:marRight w:val="0"/>
      <w:marTop w:val="0"/>
      <w:marBottom w:val="0"/>
      <w:divBdr>
        <w:top w:val="none" w:sz="0" w:space="0" w:color="auto"/>
        <w:left w:val="none" w:sz="0" w:space="0" w:color="auto"/>
        <w:bottom w:val="none" w:sz="0" w:space="0" w:color="auto"/>
        <w:right w:val="none" w:sz="0" w:space="0" w:color="auto"/>
      </w:divBdr>
    </w:div>
    <w:div w:id="216285336">
      <w:bodyDiv w:val="1"/>
      <w:marLeft w:val="0"/>
      <w:marRight w:val="0"/>
      <w:marTop w:val="0"/>
      <w:marBottom w:val="0"/>
      <w:divBdr>
        <w:top w:val="none" w:sz="0" w:space="0" w:color="auto"/>
        <w:left w:val="none" w:sz="0" w:space="0" w:color="auto"/>
        <w:bottom w:val="none" w:sz="0" w:space="0" w:color="auto"/>
        <w:right w:val="none" w:sz="0" w:space="0" w:color="auto"/>
      </w:divBdr>
    </w:div>
    <w:div w:id="217056820">
      <w:bodyDiv w:val="1"/>
      <w:marLeft w:val="0"/>
      <w:marRight w:val="0"/>
      <w:marTop w:val="0"/>
      <w:marBottom w:val="0"/>
      <w:divBdr>
        <w:top w:val="none" w:sz="0" w:space="0" w:color="auto"/>
        <w:left w:val="none" w:sz="0" w:space="0" w:color="auto"/>
        <w:bottom w:val="none" w:sz="0" w:space="0" w:color="auto"/>
        <w:right w:val="none" w:sz="0" w:space="0" w:color="auto"/>
      </w:divBdr>
    </w:div>
    <w:div w:id="227308355">
      <w:bodyDiv w:val="1"/>
      <w:marLeft w:val="0"/>
      <w:marRight w:val="0"/>
      <w:marTop w:val="0"/>
      <w:marBottom w:val="0"/>
      <w:divBdr>
        <w:top w:val="none" w:sz="0" w:space="0" w:color="auto"/>
        <w:left w:val="none" w:sz="0" w:space="0" w:color="auto"/>
        <w:bottom w:val="none" w:sz="0" w:space="0" w:color="auto"/>
        <w:right w:val="none" w:sz="0" w:space="0" w:color="auto"/>
      </w:divBdr>
    </w:div>
    <w:div w:id="230577281">
      <w:bodyDiv w:val="1"/>
      <w:marLeft w:val="0"/>
      <w:marRight w:val="0"/>
      <w:marTop w:val="0"/>
      <w:marBottom w:val="0"/>
      <w:divBdr>
        <w:top w:val="none" w:sz="0" w:space="0" w:color="auto"/>
        <w:left w:val="none" w:sz="0" w:space="0" w:color="auto"/>
        <w:bottom w:val="none" w:sz="0" w:space="0" w:color="auto"/>
        <w:right w:val="none" w:sz="0" w:space="0" w:color="auto"/>
      </w:divBdr>
    </w:div>
    <w:div w:id="244806154">
      <w:bodyDiv w:val="1"/>
      <w:marLeft w:val="0"/>
      <w:marRight w:val="0"/>
      <w:marTop w:val="0"/>
      <w:marBottom w:val="0"/>
      <w:divBdr>
        <w:top w:val="none" w:sz="0" w:space="0" w:color="auto"/>
        <w:left w:val="none" w:sz="0" w:space="0" w:color="auto"/>
        <w:bottom w:val="none" w:sz="0" w:space="0" w:color="auto"/>
        <w:right w:val="none" w:sz="0" w:space="0" w:color="auto"/>
      </w:divBdr>
    </w:div>
    <w:div w:id="248119534">
      <w:bodyDiv w:val="1"/>
      <w:marLeft w:val="0"/>
      <w:marRight w:val="0"/>
      <w:marTop w:val="0"/>
      <w:marBottom w:val="0"/>
      <w:divBdr>
        <w:top w:val="none" w:sz="0" w:space="0" w:color="auto"/>
        <w:left w:val="none" w:sz="0" w:space="0" w:color="auto"/>
        <w:bottom w:val="none" w:sz="0" w:space="0" w:color="auto"/>
        <w:right w:val="none" w:sz="0" w:space="0" w:color="auto"/>
      </w:divBdr>
    </w:div>
    <w:div w:id="256640009">
      <w:bodyDiv w:val="1"/>
      <w:marLeft w:val="0"/>
      <w:marRight w:val="0"/>
      <w:marTop w:val="0"/>
      <w:marBottom w:val="0"/>
      <w:divBdr>
        <w:top w:val="none" w:sz="0" w:space="0" w:color="auto"/>
        <w:left w:val="none" w:sz="0" w:space="0" w:color="auto"/>
        <w:bottom w:val="none" w:sz="0" w:space="0" w:color="auto"/>
        <w:right w:val="none" w:sz="0" w:space="0" w:color="auto"/>
      </w:divBdr>
    </w:div>
    <w:div w:id="259064696">
      <w:bodyDiv w:val="1"/>
      <w:marLeft w:val="0"/>
      <w:marRight w:val="0"/>
      <w:marTop w:val="0"/>
      <w:marBottom w:val="0"/>
      <w:divBdr>
        <w:top w:val="none" w:sz="0" w:space="0" w:color="auto"/>
        <w:left w:val="none" w:sz="0" w:space="0" w:color="auto"/>
        <w:bottom w:val="none" w:sz="0" w:space="0" w:color="auto"/>
        <w:right w:val="none" w:sz="0" w:space="0" w:color="auto"/>
      </w:divBdr>
    </w:div>
    <w:div w:id="260727818">
      <w:bodyDiv w:val="1"/>
      <w:marLeft w:val="0"/>
      <w:marRight w:val="0"/>
      <w:marTop w:val="0"/>
      <w:marBottom w:val="0"/>
      <w:divBdr>
        <w:top w:val="none" w:sz="0" w:space="0" w:color="auto"/>
        <w:left w:val="none" w:sz="0" w:space="0" w:color="auto"/>
        <w:bottom w:val="none" w:sz="0" w:space="0" w:color="auto"/>
        <w:right w:val="none" w:sz="0" w:space="0" w:color="auto"/>
      </w:divBdr>
    </w:div>
    <w:div w:id="276377306">
      <w:bodyDiv w:val="1"/>
      <w:marLeft w:val="0"/>
      <w:marRight w:val="0"/>
      <w:marTop w:val="0"/>
      <w:marBottom w:val="0"/>
      <w:divBdr>
        <w:top w:val="none" w:sz="0" w:space="0" w:color="auto"/>
        <w:left w:val="none" w:sz="0" w:space="0" w:color="auto"/>
        <w:bottom w:val="none" w:sz="0" w:space="0" w:color="auto"/>
        <w:right w:val="none" w:sz="0" w:space="0" w:color="auto"/>
      </w:divBdr>
    </w:div>
    <w:div w:id="300959057">
      <w:bodyDiv w:val="1"/>
      <w:marLeft w:val="0"/>
      <w:marRight w:val="0"/>
      <w:marTop w:val="0"/>
      <w:marBottom w:val="0"/>
      <w:divBdr>
        <w:top w:val="none" w:sz="0" w:space="0" w:color="auto"/>
        <w:left w:val="none" w:sz="0" w:space="0" w:color="auto"/>
        <w:bottom w:val="none" w:sz="0" w:space="0" w:color="auto"/>
        <w:right w:val="none" w:sz="0" w:space="0" w:color="auto"/>
      </w:divBdr>
    </w:div>
    <w:div w:id="355157503">
      <w:bodyDiv w:val="1"/>
      <w:marLeft w:val="0"/>
      <w:marRight w:val="0"/>
      <w:marTop w:val="0"/>
      <w:marBottom w:val="0"/>
      <w:divBdr>
        <w:top w:val="none" w:sz="0" w:space="0" w:color="auto"/>
        <w:left w:val="none" w:sz="0" w:space="0" w:color="auto"/>
        <w:bottom w:val="none" w:sz="0" w:space="0" w:color="auto"/>
        <w:right w:val="none" w:sz="0" w:space="0" w:color="auto"/>
      </w:divBdr>
    </w:div>
    <w:div w:id="363940294">
      <w:bodyDiv w:val="1"/>
      <w:marLeft w:val="0"/>
      <w:marRight w:val="0"/>
      <w:marTop w:val="0"/>
      <w:marBottom w:val="0"/>
      <w:divBdr>
        <w:top w:val="none" w:sz="0" w:space="0" w:color="auto"/>
        <w:left w:val="none" w:sz="0" w:space="0" w:color="auto"/>
        <w:bottom w:val="none" w:sz="0" w:space="0" w:color="auto"/>
        <w:right w:val="none" w:sz="0" w:space="0" w:color="auto"/>
      </w:divBdr>
    </w:div>
    <w:div w:id="406729287">
      <w:bodyDiv w:val="1"/>
      <w:marLeft w:val="0"/>
      <w:marRight w:val="0"/>
      <w:marTop w:val="0"/>
      <w:marBottom w:val="0"/>
      <w:divBdr>
        <w:top w:val="none" w:sz="0" w:space="0" w:color="auto"/>
        <w:left w:val="none" w:sz="0" w:space="0" w:color="auto"/>
        <w:bottom w:val="none" w:sz="0" w:space="0" w:color="auto"/>
        <w:right w:val="none" w:sz="0" w:space="0" w:color="auto"/>
      </w:divBdr>
    </w:div>
    <w:div w:id="417092998">
      <w:bodyDiv w:val="1"/>
      <w:marLeft w:val="0"/>
      <w:marRight w:val="0"/>
      <w:marTop w:val="0"/>
      <w:marBottom w:val="0"/>
      <w:divBdr>
        <w:top w:val="none" w:sz="0" w:space="0" w:color="auto"/>
        <w:left w:val="none" w:sz="0" w:space="0" w:color="auto"/>
        <w:bottom w:val="none" w:sz="0" w:space="0" w:color="auto"/>
        <w:right w:val="none" w:sz="0" w:space="0" w:color="auto"/>
      </w:divBdr>
    </w:div>
    <w:div w:id="448549994">
      <w:bodyDiv w:val="1"/>
      <w:marLeft w:val="0"/>
      <w:marRight w:val="0"/>
      <w:marTop w:val="0"/>
      <w:marBottom w:val="0"/>
      <w:divBdr>
        <w:top w:val="none" w:sz="0" w:space="0" w:color="auto"/>
        <w:left w:val="none" w:sz="0" w:space="0" w:color="auto"/>
        <w:bottom w:val="none" w:sz="0" w:space="0" w:color="auto"/>
        <w:right w:val="none" w:sz="0" w:space="0" w:color="auto"/>
      </w:divBdr>
    </w:div>
    <w:div w:id="465969268">
      <w:bodyDiv w:val="1"/>
      <w:marLeft w:val="0"/>
      <w:marRight w:val="0"/>
      <w:marTop w:val="0"/>
      <w:marBottom w:val="0"/>
      <w:divBdr>
        <w:top w:val="none" w:sz="0" w:space="0" w:color="auto"/>
        <w:left w:val="none" w:sz="0" w:space="0" w:color="auto"/>
        <w:bottom w:val="none" w:sz="0" w:space="0" w:color="auto"/>
        <w:right w:val="none" w:sz="0" w:space="0" w:color="auto"/>
      </w:divBdr>
    </w:div>
    <w:div w:id="477889272">
      <w:bodyDiv w:val="1"/>
      <w:marLeft w:val="0"/>
      <w:marRight w:val="0"/>
      <w:marTop w:val="0"/>
      <w:marBottom w:val="0"/>
      <w:divBdr>
        <w:top w:val="none" w:sz="0" w:space="0" w:color="auto"/>
        <w:left w:val="none" w:sz="0" w:space="0" w:color="auto"/>
        <w:bottom w:val="none" w:sz="0" w:space="0" w:color="auto"/>
        <w:right w:val="none" w:sz="0" w:space="0" w:color="auto"/>
      </w:divBdr>
    </w:div>
    <w:div w:id="481239325">
      <w:bodyDiv w:val="1"/>
      <w:marLeft w:val="0"/>
      <w:marRight w:val="0"/>
      <w:marTop w:val="0"/>
      <w:marBottom w:val="0"/>
      <w:divBdr>
        <w:top w:val="none" w:sz="0" w:space="0" w:color="auto"/>
        <w:left w:val="none" w:sz="0" w:space="0" w:color="auto"/>
        <w:bottom w:val="none" w:sz="0" w:space="0" w:color="auto"/>
        <w:right w:val="none" w:sz="0" w:space="0" w:color="auto"/>
      </w:divBdr>
    </w:div>
    <w:div w:id="488406172">
      <w:bodyDiv w:val="1"/>
      <w:marLeft w:val="0"/>
      <w:marRight w:val="0"/>
      <w:marTop w:val="0"/>
      <w:marBottom w:val="0"/>
      <w:divBdr>
        <w:top w:val="none" w:sz="0" w:space="0" w:color="auto"/>
        <w:left w:val="none" w:sz="0" w:space="0" w:color="auto"/>
        <w:bottom w:val="none" w:sz="0" w:space="0" w:color="auto"/>
        <w:right w:val="none" w:sz="0" w:space="0" w:color="auto"/>
      </w:divBdr>
    </w:div>
    <w:div w:id="490172969">
      <w:bodyDiv w:val="1"/>
      <w:marLeft w:val="0"/>
      <w:marRight w:val="0"/>
      <w:marTop w:val="0"/>
      <w:marBottom w:val="0"/>
      <w:divBdr>
        <w:top w:val="none" w:sz="0" w:space="0" w:color="auto"/>
        <w:left w:val="none" w:sz="0" w:space="0" w:color="auto"/>
        <w:bottom w:val="none" w:sz="0" w:space="0" w:color="auto"/>
        <w:right w:val="none" w:sz="0" w:space="0" w:color="auto"/>
      </w:divBdr>
    </w:div>
    <w:div w:id="498735017">
      <w:bodyDiv w:val="1"/>
      <w:marLeft w:val="0"/>
      <w:marRight w:val="0"/>
      <w:marTop w:val="0"/>
      <w:marBottom w:val="0"/>
      <w:divBdr>
        <w:top w:val="none" w:sz="0" w:space="0" w:color="auto"/>
        <w:left w:val="none" w:sz="0" w:space="0" w:color="auto"/>
        <w:bottom w:val="none" w:sz="0" w:space="0" w:color="auto"/>
        <w:right w:val="none" w:sz="0" w:space="0" w:color="auto"/>
      </w:divBdr>
    </w:div>
    <w:div w:id="526875626">
      <w:bodyDiv w:val="1"/>
      <w:marLeft w:val="0"/>
      <w:marRight w:val="0"/>
      <w:marTop w:val="0"/>
      <w:marBottom w:val="0"/>
      <w:divBdr>
        <w:top w:val="none" w:sz="0" w:space="0" w:color="auto"/>
        <w:left w:val="none" w:sz="0" w:space="0" w:color="auto"/>
        <w:bottom w:val="none" w:sz="0" w:space="0" w:color="auto"/>
        <w:right w:val="none" w:sz="0" w:space="0" w:color="auto"/>
      </w:divBdr>
    </w:div>
    <w:div w:id="544680394">
      <w:bodyDiv w:val="1"/>
      <w:marLeft w:val="0"/>
      <w:marRight w:val="0"/>
      <w:marTop w:val="0"/>
      <w:marBottom w:val="0"/>
      <w:divBdr>
        <w:top w:val="none" w:sz="0" w:space="0" w:color="auto"/>
        <w:left w:val="none" w:sz="0" w:space="0" w:color="auto"/>
        <w:bottom w:val="none" w:sz="0" w:space="0" w:color="auto"/>
        <w:right w:val="none" w:sz="0" w:space="0" w:color="auto"/>
      </w:divBdr>
    </w:div>
    <w:div w:id="555314248">
      <w:bodyDiv w:val="1"/>
      <w:marLeft w:val="0"/>
      <w:marRight w:val="0"/>
      <w:marTop w:val="0"/>
      <w:marBottom w:val="0"/>
      <w:divBdr>
        <w:top w:val="none" w:sz="0" w:space="0" w:color="auto"/>
        <w:left w:val="none" w:sz="0" w:space="0" w:color="auto"/>
        <w:bottom w:val="none" w:sz="0" w:space="0" w:color="auto"/>
        <w:right w:val="none" w:sz="0" w:space="0" w:color="auto"/>
      </w:divBdr>
    </w:div>
    <w:div w:id="564529252">
      <w:bodyDiv w:val="1"/>
      <w:marLeft w:val="0"/>
      <w:marRight w:val="0"/>
      <w:marTop w:val="0"/>
      <w:marBottom w:val="0"/>
      <w:divBdr>
        <w:top w:val="none" w:sz="0" w:space="0" w:color="auto"/>
        <w:left w:val="none" w:sz="0" w:space="0" w:color="auto"/>
        <w:bottom w:val="none" w:sz="0" w:space="0" w:color="auto"/>
        <w:right w:val="none" w:sz="0" w:space="0" w:color="auto"/>
      </w:divBdr>
    </w:div>
    <w:div w:id="567417976">
      <w:bodyDiv w:val="1"/>
      <w:marLeft w:val="0"/>
      <w:marRight w:val="0"/>
      <w:marTop w:val="0"/>
      <w:marBottom w:val="0"/>
      <w:divBdr>
        <w:top w:val="none" w:sz="0" w:space="0" w:color="auto"/>
        <w:left w:val="none" w:sz="0" w:space="0" w:color="auto"/>
        <w:bottom w:val="none" w:sz="0" w:space="0" w:color="auto"/>
        <w:right w:val="none" w:sz="0" w:space="0" w:color="auto"/>
      </w:divBdr>
    </w:div>
    <w:div w:id="586771044">
      <w:bodyDiv w:val="1"/>
      <w:marLeft w:val="0"/>
      <w:marRight w:val="0"/>
      <w:marTop w:val="0"/>
      <w:marBottom w:val="0"/>
      <w:divBdr>
        <w:top w:val="none" w:sz="0" w:space="0" w:color="auto"/>
        <w:left w:val="none" w:sz="0" w:space="0" w:color="auto"/>
        <w:bottom w:val="none" w:sz="0" w:space="0" w:color="auto"/>
        <w:right w:val="none" w:sz="0" w:space="0" w:color="auto"/>
      </w:divBdr>
    </w:div>
    <w:div w:id="619460589">
      <w:bodyDiv w:val="1"/>
      <w:marLeft w:val="0"/>
      <w:marRight w:val="0"/>
      <w:marTop w:val="0"/>
      <w:marBottom w:val="0"/>
      <w:divBdr>
        <w:top w:val="none" w:sz="0" w:space="0" w:color="auto"/>
        <w:left w:val="none" w:sz="0" w:space="0" w:color="auto"/>
        <w:bottom w:val="none" w:sz="0" w:space="0" w:color="auto"/>
        <w:right w:val="none" w:sz="0" w:space="0" w:color="auto"/>
      </w:divBdr>
    </w:div>
    <w:div w:id="634333520">
      <w:bodyDiv w:val="1"/>
      <w:marLeft w:val="0"/>
      <w:marRight w:val="0"/>
      <w:marTop w:val="0"/>
      <w:marBottom w:val="0"/>
      <w:divBdr>
        <w:top w:val="none" w:sz="0" w:space="0" w:color="auto"/>
        <w:left w:val="none" w:sz="0" w:space="0" w:color="auto"/>
        <w:bottom w:val="none" w:sz="0" w:space="0" w:color="auto"/>
        <w:right w:val="none" w:sz="0" w:space="0" w:color="auto"/>
      </w:divBdr>
    </w:div>
    <w:div w:id="635720403">
      <w:bodyDiv w:val="1"/>
      <w:marLeft w:val="0"/>
      <w:marRight w:val="0"/>
      <w:marTop w:val="0"/>
      <w:marBottom w:val="0"/>
      <w:divBdr>
        <w:top w:val="none" w:sz="0" w:space="0" w:color="auto"/>
        <w:left w:val="none" w:sz="0" w:space="0" w:color="auto"/>
        <w:bottom w:val="none" w:sz="0" w:space="0" w:color="auto"/>
        <w:right w:val="none" w:sz="0" w:space="0" w:color="auto"/>
      </w:divBdr>
    </w:div>
    <w:div w:id="640892587">
      <w:bodyDiv w:val="1"/>
      <w:marLeft w:val="0"/>
      <w:marRight w:val="0"/>
      <w:marTop w:val="0"/>
      <w:marBottom w:val="0"/>
      <w:divBdr>
        <w:top w:val="none" w:sz="0" w:space="0" w:color="auto"/>
        <w:left w:val="none" w:sz="0" w:space="0" w:color="auto"/>
        <w:bottom w:val="none" w:sz="0" w:space="0" w:color="auto"/>
        <w:right w:val="none" w:sz="0" w:space="0" w:color="auto"/>
      </w:divBdr>
    </w:div>
    <w:div w:id="650137819">
      <w:bodyDiv w:val="1"/>
      <w:marLeft w:val="0"/>
      <w:marRight w:val="0"/>
      <w:marTop w:val="0"/>
      <w:marBottom w:val="0"/>
      <w:divBdr>
        <w:top w:val="none" w:sz="0" w:space="0" w:color="auto"/>
        <w:left w:val="none" w:sz="0" w:space="0" w:color="auto"/>
        <w:bottom w:val="none" w:sz="0" w:space="0" w:color="auto"/>
        <w:right w:val="none" w:sz="0" w:space="0" w:color="auto"/>
      </w:divBdr>
    </w:div>
    <w:div w:id="660424310">
      <w:bodyDiv w:val="1"/>
      <w:marLeft w:val="0"/>
      <w:marRight w:val="0"/>
      <w:marTop w:val="0"/>
      <w:marBottom w:val="0"/>
      <w:divBdr>
        <w:top w:val="none" w:sz="0" w:space="0" w:color="auto"/>
        <w:left w:val="none" w:sz="0" w:space="0" w:color="auto"/>
        <w:bottom w:val="none" w:sz="0" w:space="0" w:color="auto"/>
        <w:right w:val="none" w:sz="0" w:space="0" w:color="auto"/>
      </w:divBdr>
    </w:div>
    <w:div w:id="664282491">
      <w:bodyDiv w:val="1"/>
      <w:marLeft w:val="0"/>
      <w:marRight w:val="0"/>
      <w:marTop w:val="0"/>
      <w:marBottom w:val="0"/>
      <w:divBdr>
        <w:top w:val="none" w:sz="0" w:space="0" w:color="auto"/>
        <w:left w:val="none" w:sz="0" w:space="0" w:color="auto"/>
        <w:bottom w:val="none" w:sz="0" w:space="0" w:color="auto"/>
        <w:right w:val="none" w:sz="0" w:space="0" w:color="auto"/>
      </w:divBdr>
    </w:div>
    <w:div w:id="664627718">
      <w:bodyDiv w:val="1"/>
      <w:marLeft w:val="0"/>
      <w:marRight w:val="0"/>
      <w:marTop w:val="0"/>
      <w:marBottom w:val="0"/>
      <w:divBdr>
        <w:top w:val="none" w:sz="0" w:space="0" w:color="auto"/>
        <w:left w:val="none" w:sz="0" w:space="0" w:color="auto"/>
        <w:bottom w:val="none" w:sz="0" w:space="0" w:color="auto"/>
        <w:right w:val="none" w:sz="0" w:space="0" w:color="auto"/>
      </w:divBdr>
    </w:div>
    <w:div w:id="688414905">
      <w:bodyDiv w:val="1"/>
      <w:marLeft w:val="0"/>
      <w:marRight w:val="0"/>
      <w:marTop w:val="0"/>
      <w:marBottom w:val="0"/>
      <w:divBdr>
        <w:top w:val="none" w:sz="0" w:space="0" w:color="auto"/>
        <w:left w:val="none" w:sz="0" w:space="0" w:color="auto"/>
        <w:bottom w:val="none" w:sz="0" w:space="0" w:color="auto"/>
        <w:right w:val="none" w:sz="0" w:space="0" w:color="auto"/>
      </w:divBdr>
    </w:div>
    <w:div w:id="691224049">
      <w:bodyDiv w:val="1"/>
      <w:marLeft w:val="0"/>
      <w:marRight w:val="0"/>
      <w:marTop w:val="0"/>
      <w:marBottom w:val="0"/>
      <w:divBdr>
        <w:top w:val="none" w:sz="0" w:space="0" w:color="auto"/>
        <w:left w:val="none" w:sz="0" w:space="0" w:color="auto"/>
        <w:bottom w:val="none" w:sz="0" w:space="0" w:color="auto"/>
        <w:right w:val="none" w:sz="0" w:space="0" w:color="auto"/>
      </w:divBdr>
    </w:div>
    <w:div w:id="712969671">
      <w:bodyDiv w:val="1"/>
      <w:marLeft w:val="0"/>
      <w:marRight w:val="0"/>
      <w:marTop w:val="0"/>
      <w:marBottom w:val="0"/>
      <w:divBdr>
        <w:top w:val="none" w:sz="0" w:space="0" w:color="auto"/>
        <w:left w:val="none" w:sz="0" w:space="0" w:color="auto"/>
        <w:bottom w:val="none" w:sz="0" w:space="0" w:color="auto"/>
        <w:right w:val="none" w:sz="0" w:space="0" w:color="auto"/>
      </w:divBdr>
    </w:div>
    <w:div w:id="718748603">
      <w:bodyDiv w:val="1"/>
      <w:marLeft w:val="0"/>
      <w:marRight w:val="0"/>
      <w:marTop w:val="0"/>
      <w:marBottom w:val="0"/>
      <w:divBdr>
        <w:top w:val="none" w:sz="0" w:space="0" w:color="auto"/>
        <w:left w:val="none" w:sz="0" w:space="0" w:color="auto"/>
        <w:bottom w:val="none" w:sz="0" w:space="0" w:color="auto"/>
        <w:right w:val="none" w:sz="0" w:space="0" w:color="auto"/>
      </w:divBdr>
    </w:div>
    <w:div w:id="740758006">
      <w:bodyDiv w:val="1"/>
      <w:marLeft w:val="0"/>
      <w:marRight w:val="0"/>
      <w:marTop w:val="0"/>
      <w:marBottom w:val="0"/>
      <w:divBdr>
        <w:top w:val="none" w:sz="0" w:space="0" w:color="auto"/>
        <w:left w:val="none" w:sz="0" w:space="0" w:color="auto"/>
        <w:bottom w:val="none" w:sz="0" w:space="0" w:color="auto"/>
        <w:right w:val="none" w:sz="0" w:space="0" w:color="auto"/>
      </w:divBdr>
    </w:div>
    <w:div w:id="791509823">
      <w:bodyDiv w:val="1"/>
      <w:marLeft w:val="0"/>
      <w:marRight w:val="0"/>
      <w:marTop w:val="0"/>
      <w:marBottom w:val="0"/>
      <w:divBdr>
        <w:top w:val="none" w:sz="0" w:space="0" w:color="auto"/>
        <w:left w:val="none" w:sz="0" w:space="0" w:color="auto"/>
        <w:bottom w:val="none" w:sz="0" w:space="0" w:color="auto"/>
        <w:right w:val="none" w:sz="0" w:space="0" w:color="auto"/>
      </w:divBdr>
    </w:div>
    <w:div w:id="816923726">
      <w:bodyDiv w:val="1"/>
      <w:marLeft w:val="0"/>
      <w:marRight w:val="0"/>
      <w:marTop w:val="0"/>
      <w:marBottom w:val="0"/>
      <w:divBdr>
        <w:top w:val="none" w:sz="0" w:space="0" w:color="auto"/>
        <w:left w:val="none" w:sz="0" w:space="0" w:color="auto"/>
        <w:bottom w:val="none" w:sz="0" w:space="0" w:color="auto"/>
        <w:right w:val="none" w:sz="0" w:space="0" w:color="auto"/>
      </w:divBdr>
    </w:div>
    <w:div w:id="821888405">
      <w:bodyDiv w:val="1"/>
      <w:marLeft w:val="0"/>
      <w:marRight w:val="0"/>
      <w:marTop w:val="0"/>
      <w:marBottom w:val="0"/>
      <w:divBdr>
        <w:top w:val="none" w:sz="0" w:space="0" w:color="auto"/>
        <w:left w:val="none" w:sz="0" w:space="0" w:color="auto"/>
        <w:bottom w:val="none" w:sz="0" w:space="0" w:color="auto"/>
        <w:right w:val="none" w:sz="0" w:space="0" w:color="auto"/>
      </w:divBdr>
      <w:divsChild>
        <w:div w:id="1266814608">
          <w:marLeft w:val="0"/>
          <w:marRight w:val="0"/>
          <w:marTop w:val="0"/>
          <w:marBottom w:val="0"/>
          <w:divBdr>
            <w:top w:val="none" w:sz="0" w:space="0" w:color="auto"/>
            <w:left w:val="none" w:sz="0" w:space="0" w:color="auto"/>
            <w:bottom w:val="none" w:sz="0" w:space="0" w:color="auto"/>
            <w:right w:val="none" w:sz="0" w:space="0" w:color="auto"/>
          </w:divBdr>
          <w:divsChild>
            <w:div w:id="1734502569">
              <w:marLeft w:val="0"/>
              <w:marRight w:val="0"/>
              <w:marTop w:val="0"/>
              <w:marBottom w:val="0"/>
              <w:divBdr>
                <w:top w:val="none" w:sz="0" w:space="0" w:color="auto"/>
                <w:left w:val="none" w:sz="0" w:space="0" w:color="auto"/>
                <w:bottom w:val="none" w:sz="0" w:space="0" w:color="auto"/>
                <w:right w:val="none" w:sz="0" w:space="0" w:color="auto"/>
              </w:divBdr>
              <w:divsChild>
                <w:div w:id="768544154">
                  <w:marLeft w:val="0"/>
                  <w:marRight w:val="0"/>
                  <w:marTop w:val="0"/>
                  <w:marBottom w:val="0"/>
                  <w:divBdr>
                    <w:top w:val="none" w:sz="0" w:space="0" w:color="auto"/>
                    <w:left w:val="none" w:sz="0" w:space="0" w:color="auto"/>
                    <w:bottom w:val="none" w:sz="0" w:space="0" w:color="auto"/>
                    <w:right w:val="none" w:sz="0" w:space="0" w:color="auto"/>
                  </w:divBdr>
                  <w:divsChild>
                    <w:div w:id="1131552891">
                      <w:marLeft w:val="0"/>
                      <w:marRight w:val="0"/>
                      <w:marTop w:val="0"/>
                      <w:marBottom w:val="0"/>
                      <w:divBdr>
                        <w:top w:val="none" w:sz="0" w:space="0" w:color="auto"/>
                        <w:left w:val="none" w:sz="0" w:space="0" w:color="auto"/>
                        <w:bottom w:val="none" w:sz="0" w:space="0" w:color="auto"/>
                        <w:right w:val="none" w:sz="0" w:space="0" w:color="auto"/>
                      </w:divBdr>
                      <w:divsChild>
                        <w:div w:id="231891189">
                          <w:marLeft w:val="0"/>
                          <w:marRight w:val="0"/>
                          <w:marTop w:val="0"/>
                          <w:marBottom w:val="0"/>
                          <w:divBdr>
                            <w:top w:val="none" w:sz="0" w:space="0" w:color="auto"/>
                            <w:left w:val="none" w:sz="0" w:space="0" w:color="auto"/>
                            <w:bottom w:val="none" w:sz="0" w:space="0" w:color="auto"/>
                            <w:right w:val="none" w:sz="0" w:space="0" w:color="auto"/>
                          </w:divBdr>
                          <w:divsChild>
                            <w:div w:id="167275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248421">
      <w:bodyDiv w:val="1"/>
      <w:marLeft w:val="0"/>
      <w:marRight w:val="0"/>
      <w:marTop w:val="0"/>
      <w:marBottom w:val="0"/>
      <w:divBdr>
        <w:top w:val="none" w:sz="0" w:space="0" w:color="auto"/>
        <w:left w:val="none" w:sz="0" w:space="0" w:color="auto"/>
        <w:bottom w:val="none" w:sz="0" w:space="0" w:color="auto"/>
        <w:right w:val="none" w:sz="0" w:space="0" w:color="auto"/>
      </w:divBdr>
    </w:div>
    <w:div w:id="831601190">
      <w:bodyDiv w:val="1"/>
      <w:marLeft w:val="0"/>
      <w:marRight w:val="0"/>
      <w:marTop w:val="0"/>
      <w:marBottom w:val="0"/>
      <w:divBdr>
        <w:top w:val="none" w:sz="0" w:space="0" w:color="auto"/>
        <w:left w:val="none" w:sz="0" w:space="0" w:color="auto"/>
        <w:bottom w:val="none" w:sz="0" w:space="0" w:color="auto"/>
        <w:right w:val="none" w:sz="0" w:space="0" w:color="auto"/>
      </w:divBdr>
    </w:div>
    <w:div w:id="843587478">
      <w:bodyDiv w:val="1"/>
      <w:marLeft w:val="0"/>
      <w:marRight w:val="0"/>
      <w:marTop w:val="0"/>
      <w:marBottom w:val="0"/>
      <w:divBdr>
        <w:top w:val="none" w:sz="0" w:space="0" w:color="auto"/>
        <w:left w:val="none" w:sz="0" w:space="0" w:color="auto"/>
        <w:bottom w:val="none" w:sz="0" w:space="0" w:color="auto"/>
        <w:right w:val="none" w:sz="0" w:space="0" w:color="auto"/>
      </w:divBdr>
    </w:div>
    <w:div w:id="850677283">
      <w:bodyDiv w:val="1"/>
      <w:marLeft w:val="0"/>
      <w:marRight w:val="0"/>
      <w:marTop w:val="0"/>
      <w:marBottom w:val="0"/>
      <w:divBdr>
        <w:top w:val="none" w:sz="0" w:space="0" w:color="auto"/>
        <w:left w:val="none" w:sz="0" w:space="0" w:color="auto"/>
        <w:bottom w:val="none" w:sz="0" w:space="0" w:color="auto"/>
        <w:right w:val="none" w:sz="0" w:space="0" w:color="auto"/>
      </w:divBdr>
    </w:div>
    <w:div w:id="851066588">
      <w:bodyDiv w:val="1"/>
      <w:marLeft w:val="0"/>
      <w:marRight w:val="0"/>
      <w:marTop w:val="0"/>
      <w:marBottom w:val="0"/>
      <w:divBdr>
        <w:top w:val="none" w:sz="0" w:space="0" w:color="auto"/>
        <w:left w:val="none" w:sz="0" w:space="0" w:color="auto"/>
        <w:bottom w:val="none" w:sz="0" w:space="0" w:color="auto"/>
        <w:right w:val="none" w:sz="0" w:space="0" w:color="auto"/>
      </w:divBdr>
    </w:div>
    <w:div w:id="853349376">
      <w:bodyDiv w:val="1"/>
      <w:marLeft w:val="0"/>
      <w:marRight w:val="0"/>
      <w:marTop w:val="0"/>
      <w:marBottom w:val="0"/>
      <w:divBdr>
        <w:top w:val="none" w:sz="0" w:space="0" w:color="auto"/>
        <w:left w:val="none" w:sz="0" w:space="0" w:color="auto"/>
        <w:bottom w:val="none" w:sz="0" w:space="0" w:color="auto"/>
        <w:right w:val="none" w:sz="0" w:space="0" w:color="auto"/>
      </w:divBdr>
    </w:div>
    <w:div w:id="857354723">
      <w:bodyDiv w:val="1"/>
      <w:marLeft w:val="0"/>
      <w:marRight w:val="0"/>
      <w:marTop w:val="0"/>
      <w:marBottom w:val="0"/>
      <w:divBdr>
        <w:top w:val="none" w:sz="0" w:space="0" w:color="auto"/>
        <w:left w:val="none" w:sz="0" w:space="0" w:color="auto"/>
        <w:bottom w:val="none" w:sz="0" w:space="0" w:color="auto"/>
        <w:right w:val="none" w:sz="0" w:space="0" w:color="auto"/>
      </w:divBdr>
    </w:div>
    <w:div w:id="858010092">
      <w:bodyDiv w:val="1"/>
      <w:marLeft w:val="0"/>
      <w:marRight w:val="0"/>
      <w:marTop w:val="0"/>
      <w:marBottom w:val="0"/>
      <w:divBdr>
        <w:top w:val="none" w:sz="0" w:space="0" w:color="auto"/>
        <w:left w:val="none" w:sz="0" w:space="0" w:color="auto"/>
        <w:bottom w:val="none" w:sz="0" w:space="0" w:color="auto"/>
        <w:right w:val="none" w:sz="0" w:space="0" w:color="auto"/>
      </w:divBdr>
    </w:div>
    <w:div w:id="858469763">
      <w:bodyDiv w:val="1"/>
      <w:marLeft w:val="0"/>
      <w:marRight w:val="0"/>
      <w:marTop w:val="0"/>
      <w:marBottom w:val="0"/>
      <w:divBdr>
        <w:top w:val="none" w:sz="0" w:space="0" w:color="auto"/>
        <w:left w:val="none" w:sz="0" w:space="0" w:color="auto"/>
        <w:bottom w:val="none" w:sz="0" w:space="0" w:color="auto"/>
        <w:right w:val="none" w:sz="0" w:space="0" w:color="auto"/>
      </w:divBdr>
    </w:div>
    <w:div w:id="863060262">
      <w:bodyDiv w:val="1"/>
      <w:marLeft w:val="0"/>
      <w:marRight w:val="0"/>
      <w:marTop w:val="0"/>
      <w:marBottom w:val="0"/>
      <w:divBdr>
        <w:top w:val="none" w:sz="0" w:space="0" w:color="auto"/>
        <w:left w:val="none" w:sz="0" w:space="0" w:color="auto"/>
        <w:bottom w:val="none" w:sz="0" w:space="0" w:color="auto"/>
        <w:right w:val="none" w:sz="0" w:space="0" w:color="auto"/>
      </w:divBdr>
    </w:div>
    <w:div w:id="864447050">
      <w:bodyDiv w:val="1"/>
      <w:marLeft w:val="0"/>
      <w:marRight w:val="0"/>
      <w:marTop w:val="0"/>
      <w:marBottom w:val="0"/>
      <w:divBdr>
        <w:top w:val="none" w:sz="0" w:space="0" w:color="auto"/>
        <w:left w:val="none" w:sz="0" w:space="0" w:color="auto"/>
        <w:bottom w:val="none" w:sz="0" w:space="0" w:color="auto"/>
        <w:right w:val="none" w:sz="0" w:space="0" w:color="auto"/>
      </w:divBdr>
    </w:div>
    <w:div w:id="880900695">
      <w:bodyDiv w:val="1"/>
      <w:marLeft w:val="0"/>
      <w:marRight w:val="0"/>
      <w:marTop w:val="0"/>
      <w:marBottom w:val="0"/>
      <w:divBdr>
        <w:top w:val="none" w:sz="0" w:space="0" w:color="auto"/>
        <w:left w:val="none" w:sz="0" w:space="0" w:color="auto"/>
        <w:bottom w:val="none" w:sz="0" w:space="0" w:color="auto"/>
        <w:right w:val="none" w:sz="0" w:space="0" w:color="auto"/>
      </w:divBdr>
    </w:div>
    <w:div w:id="893659723">
      <w:bodyDiv w:val="1"/>
      <w:marLeft w:val="0"/>
      <w:marRight w:val="0"/>
      <w:marTop w:val="0"/>
      <w:marBottom w:val="0"/>
      <w:divBdr>
        <w:top w:val="none" w:sz="0" w:space="0" w:color="auto"/>
        <w:left w:val="none" w:sz="0" w:space="0" w:color="auto"/>
        <w:bottom w:val="none" w:sz="0" w:space="0" w:color="auto"/>
        <w:right w:val="none" w:sz="0" w:space="0" w:color="auto"/>
      </w:divBdr>
    </w:div>
    <w:div w:id="919100191">
      <w:bodyDiv w:val="1"/>
      <w:marLeft w:val="0"/>
      <w:marRight w:val="0"/>
      <w:marTop w:val="0"/>
      <w:marBottom w:val="0"/>
      <w:divBdr>
        <w:top w:val="none" w:sz="0" w:space="0" w:color="auto"/>
        <w:left w:val="none" w:sz="0" w:space="0" w:color="auto"/>
        <w:bottom w:val="none" w:sz="0" w:space="0" w:color="auto"/>
        <w:right w:val="none" w:sz="0" w:space="0" w:color="auto"/>
      </w:divBdr>
    </w:div>
    <w:div w:id="932202996">
      <w:bodyDiv w:val="1"/>
      <w:marLeft w:val="0"/>
      <w:marRight w:val="0"/>
      <w:marTop w:val="0"/>
      <w:marBottom w:val="0"/>
      <w:divBdr>
        <w:top w:val="none" w:sz="0" w:space="0" w:color="auto"/>
        <w:left w:val="none" w:sz="0" w:space="0" w:color="auto"/>
        <w:bottom w:val="none" w:sz="0" w:space="0" w:color="auto"/>
        <w:right w:val="none" w:sz="0" w:space="0" w:color="auto"/>
      </w:divBdr>
    </w:div>
    <w:div w:id="936713426">
      <w:bodyDiv w:val="1"/>
      <w:marLeft w:val="0"/>
      <w:marRight w:val="0"/>
      <w:marTop w:val="0"/>
      <w:marBottom w:val="0"/>
      <w:divBdr>
        <w:top w:val="none" w:sz="0" w:space="0" w:color="auto"/>
        <w:left w:val="none" w:sz="0" w:space="0" w:color="auto"/>
        <w:bottom w:val="none" w:sz="0" w:space="0" w:color="auto"/>
        <w:right w:val="none" w:sz="0" w:space="0" w:color="auto"/>
      </w:divBdr>
    </w:div>
    <w:div w:id="954291222">
      <w:bodyDiv w:val="1"/>
      <w:marLeft w:val="0"/>
      <w:marRight w:val="0"/>
      <w:marTop w:val="0"/>
      <w:marBottom w:val="0"/>
      <w:divBdr>
        <w:top w:val="none" w:sz="0" w:space="0" w:color="auto"/>
        <w:left w:val="none" w:sz="0" w:space="0" w:color="auto"/>
        <w:bottom w:val="none" w:sz="0" w:space="0" w:color="auto"/>
        <w:right w:val="none" w:sz="0" w:space="0" w:color="auto"/>
      </w:divBdr>
    </w:div>
    <w:div w:id="957486168">
      <w:bodyDiv w:val="1"/>
      <w:marLeft w:val="0"/>
      <w:marRight w:val="0"/>
      <w:marTop w:val="0"/>
      <w:marBottom w:val="0"/>
      <w:divBdr>
        <w:top w:val="none" w:sz="0" w:space="0" w:color="auto"/>
        <w:left w:val="none" w:sz="0" w:space="0" w:color="auto"/>
        <w:bottom w:val="none" w:sz="0" w:space="0" w:color="auto"/>
        <w:right w:val="none" w:sz="0" w:space="0" w:color="auto"/>
      </w:divBdr>
    </w:div>
    <w:div w:id="972448985">
      <w:bodyDiv w:val="1"/>
      <w:marLeft w:val="0"/>
      <w:marRight w:val="0"/>
      <w:marTop w:val="0"/>
      <w:marBottom w:val="0"/>
      <w:divBdr>
        <w:top w:val="none" w:sz="0" w:space="0" w:color="auto"/>
        <w:left w:val="none" w:sz="0" w:space="0" w:color="auto"/>
        <w:bottom w:val="none" w:sz="0" w:space="0" w:color="auto"/>
        <w:right w:val="none" w:sz="0" w:space="0" w:color="auto"/>
      </w:divBdr>
    </w:div>
    <w:div w:id="973559327">
      <w:bodyDiv w:val="1"/>
      <w:marLeft w:val="0"/>
      <w:marRight w:val="0"/>
      <w:marTop w:val="0"/>
      <w:marBottom w:val="0"/>
      <w:divBdr>
        <w:top w:val="none" w:sz="0" w:space="0" w:color="auto"/>
        <w:left w:val="none" w:sz="0" w:space="0" w:color="auto"/>
        <w:bottom w:val="none" w:sz="0" w:space="0" w:color="auto"/>
        <w:right w:val="none" w:sz="0" w:space="0" w:color="auto"/>
      </w:divBdr>
    </w:div>
    <w:div w:id="979921201">
      <w:bodyDiv w:val="1"/>
      <w:marLeft w:val="0"/>
      <w:marRight w:val="0"/>
      <w:marTop w:val="0"/>
      <w:marBottom w:val="0"/>
      <w:divBdr>
        <w:top w:val="none" w:sz="0" w:space="0" w:color="auto"/>
        <w:left w:val="none" w:sz="0" w:space="0" w:color="auto"/>
        <w:bottom w:val="none" w:sz="0" w:space="0" w:color="auto"/>
        <w:right w:val="none" w:sz="0" w:space="0" w:color="auto"/>
      </w:divBdr>
    </w:div>
    <w:div w:id="984548414">
      <w:bodyDiv w:val="1"/>
      <w:marLeft w:val="0"/>
      <w:marRight w:val="0"/>
      <w:marTop w:val="0"/>
      <w:marBottom w:val="0"/>
      <w:divBdr>
        <w:top w:val="none" w:sz="0" w:space="0" w:color="auto"/>
        <w:left w:val="none" w:sz="0" w:space="0" w:color="auto"/>
        <w:bottom w:val="none" w:sz="0" w:space="0" w:color="auto"/>
        <w:right w:val="none" w:sz="0" w:space="0" w:color="auto"/>
      </w:divBdr>
    </w:div>
    <w:div w:id="994604923">
      <w:bodyDiv w:val="1"/>
      <w:marLeft w:val="0"/>
      <w:marRight w:val="0"/>
      <w:marTop w:val="0"/>
      <w:marBottom w:val="0"/>
      <w:divBdr>
        <w:top w:val="none" w:sz="0" w:space="0" w:color="auto"/>
        <w:left w:val="none" w:sz="0" w:space="0" w:color="auto"/>
        <w:bottom w:val="none" w:sz="0" w:space="0" w:color="auto"/>
        <w:right w:val="none" w:sz="0" w:space="0" w:color="auto"/>
      </w:divBdr>
    </w:div>
    <w:div w:id="1005328190">
      <w:bodyDiv w:val="1"/>
      <w:marLeft w:val="0"/>
      <w:marRight w:val="0"/>
      <w:marTop w:val="0"/>
      <w:marBottom w:val="0"/>
      <w:divBdr>
        <w:top w:val="none" w:sz="0" w:space="0" w:color="auto"/>
        <w:left w:val="none" w:sz="0" w:space="0" w:color="auto"/>
        <w:bottom w:val="none" w:sz="0" w:space="0" w:color="auto"/>
        <w:right w:val="none" w:sz="0" w:space="0" w:color="auto"/>
      </w:divBdr>
    </w:div>
    <w:div w:id="1026949882">
      <w:bodyDiv w:val="1"/>
      <w:marLeft w:val="0"/>
      <w:marRight w:val="0"/>
      <w:marTop w:val="0"/>
      <w:marBottom w:val="0"/>
      <w:divBdr>
        <w:top w:val="none" w:sz="0" w:space="0" w:color="auto"/>
        <w:left w:val="none" w:sz="0" w:space="0" w:color="auto"/>
        <w:bottom w:val="none" w:sz="0" w:space="0" w:color="auto"/>
        <w:right w:val="none" w:sz="0" w:space="0" w:color="auto"/>
      </w:divBdr>
    </w:div>
    <w:div w:id="1035081637">
      <w:bodyDiv w:val="1"/>
      <w:marLeft w:val="0"/>
      <w:marRight w:val="0"/>
      <w:marTop w:val="0"/>
      <w:marBottom w:val="0"/>
      <w:divBdr>
        <w:top w:val="none" w:sz="0" w:space="0" w:color="auto"/>
        <w:left w:val="none" w:sz="0" w:space="0" w:color="auto"/>
        <w:bottom w:val="none" w:sz="0" w:space="0" w:color="auto"/>
        <w:right w:val="none" w:sz="0" w:space="0" w:color="auto"/>
      </w:divBdr>
    </w:div>
    <w:div w:id="1051223347">
      <w:bodyDiv w:val="1"/>
      <w:marLeft w:val="0"/>
      <w:marRight w:val="0"/>
      <w:marTop w:val="0"/>
      <w:marBottom w:val="0"/>
      <w:divBdr>
        <w:top w:val="none" w:sz="0" w:space="0" w:color="auto"/>
        <w:left w:val="none" w:sz="0" w:space="0" w:color="auto"/>
        <w:bottom w:val="none" w:sz="0" w:space="0" w:color="auto"/>
        <w:right w:val="none" w:sz="0" w:space="0" w:color="auto"/>
      </w:divBdr>
    </w:div>
    <w:div w:id="1052921197">
      <w:bodyDiv w:val="1"/>
      <w:marLeft w:val="0"/>
      <w:marRight w:val="0"/>
      <w:marTop w:val="0"/>
      <w:marBottom w:val="0"/>
      <w:divBdr>
        <w:top w:val="none" w:sz="0" w:space="0" w:color="auto"/>
        <w:left w:val="none" w:sz="0" w:space="0" w:color="auto"/>
        <w:bottom w:val="none" w:sz="0" w:space="0" w:color="auto"/>
        <w:right w:val="none" w:sz="0" w:space="0" w:color="auto"/>
      </w:divBdr>
    </w:div>
    <w:div w:id="1080517963">
      <w:bodyDiv w:val="1"/>
      <w:marLeft w:val="0"/>
      <w:marRight w:val="0"/>
      <w:marTop w:val="0"/>
      <w:marBottom w:val="0"/>
      <w:divBdr>
        <w:top w:val="none" w:sz="0" w:space="0" w:color="auto"/>
        <w:left w:val="none" w:sz="0" w:space="0" w:color="auto"/>
        <w:bottom w:val="none" w:sz="0" w:space="0" w:color="auto"/>
        <w:right w:val="none" w:sz="0" w:space="0" w:color="auto"/>
      </w:divBdr>
    </w:div>
    <w:div w:id="1084106418">
      <w:bodyDiv w:val="1"/>
      <w:marLeft w:val="0"/>
      <w:marRight w:val="0"/>
      <w:marTop w:val="0"/>
      <w:marBottom w:val="0"/>
      <w:divBdr>
        <w:top w:val="none" w:sz="0" w:space="0" w:color="auto"/>
        <w:left w:val="none" w:sz="0" w:space="0" w:color="auto"/>
        <w:bottom w:val="none" w:sz="0" w:space="0" w:color="auto"/>
        <w:right w:val="none" w:sz="0" w:space="0" w:color="auto"/>
      </w:divBdr>
    </w:div>
    <w:div w:id="1094129261">
      <w:bodyDiv w:val="1"/>
      <w:marLeft w:val="0"/>
      <w:marRight w:val="0"/>
      <w:marTop w:val="0"/>
      <w:marBottom w:val="0"/>
      <w:divBdr>
        <w:top w:val="none" w:sz="0" w:space="0" w:color="auto"/>
        <w:left w:val="none" w:sz="0" w:space="0" w:color="auto"/>
        <w:bottom w:val="none" w:sz="0" w:space="0" w:color="auto"/>
        <w:right w:val="none" w:sz="0" w:space="0" w:color="auto"/>
      </w:divBdr>
    </w:div>
    <w:div w:id="1095903956">
      <w:bodyDiv w:val="1"/>
      <w:marLeft w:val="0"/>
      <w:marRight w:val="0"/>
      <w:marTop w:val="0"/>
      <w:marBottom w:val="0"/>
      <w:divBdr>
        <w:top w:val="none" w:sz="0" w:space="0" w:color="auto"/>
        <w:left w:val="none" w:sz="0" w:space="0" w:color="auto"/>
        <w:bottom w:val="none" w:sz="0" w:space="0" w:color="auto"/>
        <w:right w:val="none" w:sz="0" w:space="0" w:color="auto"/>
      </w:divBdr>
    </w:div>
    <w:div w:id="1126510747">
      <w:bodyDiv w:val="1"/>
      <w:marLeft w:val="0"/>
      <w:marRight w:val="0"/>
      <w:marTop w:val="0"/>
      <w:marBottom w:val="0"/>
      <w:divBdr>
        <w:top w:val="none" w:sz="0" w:space="0" w:color="auto"/>
        <w:left w:val="none" w:sz="0" w:space="0" w:color="auto"/>
        <w:bottom w:val="none" w:sz="0" w:space="0" w:color="auto"/>
        <w:right w:val="none" w:sz="0" w:space="0" w:color="auto"/>
      </w:divBdr>
    </w:div>
    <w:div w:id="1134173293">
      <w:bodyDiv w:val="1"/>
      <w:marLeft w:val="0"/>
      <w:marRight w:val="0"/>
      <w:marTop w:val="0"/>
      <w:marBottom w:val="0"/>
      <w:divBdr>
        <w:top w:val="none" w:sz="0" w:space="0" w:color="auto"/>
        <w:left w:val="none" w:sz="0" w:space="0" w:color="auto"/>
        <w:bottom w:val="none" w:sz="0" w:space="0" w:color="auto"/>
        <w:right w:val="none" w:sz="0" w:space="0" w:color="auto"/>
      </w:divBdr>
    </w:div>
    <w:div w:id="1151871539">
      <w:bodyDiv w:val="1"/>
      <w:marLeft w:val="0"/>
      <w:marRight w:val="0"/>
      <w:marTop w:val="0"/>
      <w:marBottom w:val="0"/>
      <w:divBdr>
        <w:top w:val="none" w:sz="0" w:space="0" w:color="auto"/>
        <w:left w:val="none" w:sz="0" w:space="0" w:color="auto"/>
        <w:bottom w:val="none" w:sz="0" w:space="0" w:color="auto"/>
        <w:right w:val="none" w:sz="0" w:space="0" w:color="auto"/>
      </w:divBdr>
    </w:div>
    <w:div w:id="1153839833">
      <w:bodyDiv w:val="1"/>
      <w:marLeft w:val="0"/>
      <w:marRight w:val="0"/>
      <w:marTop w:val="0"/>
      <w:marBottom w:val="0"/>
      <w:divBdr>
        <w:top w:val="none" w:sz="0" w:space="0" w:color="auto"/>
        <w:left w:val="none" w:sz="0" w:space="0" w:color="auto"/>
        <w:bottom w:val="none" w:sz="0" w:space="0" w:color="auto"/>
        <w:right w:val="none" w:sz="0" w:space="0" w:color="auto"/>
      </w:divBdr>
    </w:div>
    <w:div w:id="1175147509">
      <w:bodyDiv w:val="1"/>
      <w:marLeft w:val="0"/>
      <w:marRight w:val="0"/>
      <w:marTop w:val="0"/>
      <w:marBottom w:val="0"/>
      <w:divBdr>
        <w:top w:val="none" w:sz="0" w:space="0" w:color="auto"/>
        <w:left w:val="none" w:sz="0" w:space="0" w:color="auto"/>
        <w:bottom w:val="none" w:sz="0" w:space="0" w:color="auto"/>
        <w:right w:val="none" w:sz="0" w:space="0" w:color="auto"/>
      </w:divBdr>
    </w:div>
    <w:div w:id="1204639689">
      <w:bodyDiv w:val="1"/>
      <w:marLeft w:val="0"/>
      <w:marRight w:val="0"/>
      <w:marTop w:val="0"/>
      <w:marBottom w:val="0"/>
      <w:divBdr>
        <w:top w:val="none" w:sz="0" w:space="0" w:color="auto"/>
        <w:left w:val="none" w:sz="0" w:space="0" w:color="auto"/>
        <w:bottom w:val="none" w:sz="0" w:space="0" w:color="auto"/>
        <w:right w:val="none" w:sz="0" w:space="0" w:color="auto"/>
      </w:divBdr>
    </w:div>
    <w:div w:id="1206137464">
      <w:bodyDiv w:val="1"/>
      <w:marLeft w:val="0"/>
      <w:marRight w:val="0"/>
      <w:marTop w:val="0"/>
      <w:marBottom w:val="0"/>
      <w:divBdr>
        <w:top w:val="none" w:sz="0" w:space="0" w:color="auto"/>
        <w:left w:val="none" w:sz="0" w:space="0" w:color="auto"/>
        <w:bottom w:val="none" w:sz="0" w:space="0" w:color="auto"/>
        <w:right w:val="none" w:sz="0" w:space="0" w:color="auto"/>
      </w:divBdr>
    </w:div>
    <w:div w:id="1219560339">
      <w:bodyDiv w:val="1"/>
      <w:marLeft w:val="0"/>
      <w:marRight w:val="0"/>
      <w:marTop w:val="0"/>
      <w:marBottom w:val="0"/>
      <w:divBdr>
        <w:top w:val="none" w:sz="0" w:space="0" w:color="auto"/>
        <w:left w:val="none" w:sz="0" w:space="0" w:color="auto"/>
        <w:bottom w:val="none" w:sz="0" w:space="0" w:color="auto"/>
        <w:right w:val="none" w:sz="0" w:space="0" w:color="auto"/>
      </w:divBdr>
    </w:div>
    <w:div w:id="1221359200">
      <w:bodyDiv w:val="1"/>
      <w:marLeft w:val="0"/>
      <w:marRight w:val="0"/>
      <w:marTop w:val="0"/>
      <w:marBottom w:val="0"/>
      <w:divBdr>
        <w:top w:val="none" w:sz="0" w:space="0" w:color="auto"/>
        <w:left w:val="none" w:sz="0" w:space="0" w:color="auto"/>
        <w:bottom w:val="none" w:sz="0" w:space="0" w:color="auto"/>
        <w:right w:val="none" w:sz="0" w:space="0" w:color="auto"/>
      </w:divBdr>
    </w:div>
    <w:div w:id="1233665055">
      <w:bodyDiv w:val="1"/>
      <w:marLeft w:val="0"/>
      <w:marRight w:val="0"/>
      <w:marTop w:val="0"/>
      <w:marBottom w:val="0"/>
      <w:divBdr>
        <w:top w:val="none" w:sz="0" w:space="0" w:color="auto"/>
        <w:left w:val="none" w:sz="0" w:space="0" w:color="auto"/>
        <w:bottom w:val="none" w:sz="0" w:space="0" w:color="auto"/>
        <w:right w:val="none" w:sz="0" w:space="0" w:color="auto"/>
      </w:divBdr>
    </w:div>
    <w:div w:id="1236091492">
      <w:bodyDiv w:val="1"/>
      <w:marLeft w:val="0"/>
      <w:marRight w:val="0"/>
      <w:marTop w:val="0"/>
      <w:marBottom w:val="0"/>
      <w:divBdr>
        <w:top w:val="none" w:sz="0" w:space="0" w:color="auto"/>
        <w:left w:val="none" w:sz="0" w:space="0" w:color="auto"/>
        <w:bottom w:val="none" w:sz="0" w:space="0" w:color="auto"/>
        <w:right w:val="none" w:sz="0" w:space="0" w:color="auto"/>
      </w:divBdr>
    </w:div>
    <w:div w:id="1260061478">
      <w:bodyDiv w:val="1"/>
      <w:marLeft w:val="0"/>
      <w:marRight w:val="0"/>
      <w:marTop w:val="0"/>
      <w:marBottom w:val="0"/>
      <w:divBdr>
        <w:top w:val="none" w:sz="0" w:space="0" w:color="auto"/>
        <w:left w:val="none" w:sz="0" w:space="0" w:color="auto"/>
        <w:bottom w:val="none" w:sz="0" w:space="0" w:color="auto"/>
        <w:right w:val="none" w:sz="0" w:space="0" w:color="auto"/>
      </w:divBdr>
    </w:div>
    <w:div w:id="1269311528">
      <w:bodyDiv w:val="1"/>
      <w:marLeft w:val="0"/>
      <w:marRight w:val="0"/>
      <w:marTop w:val="0"/>
      <w:marBottom w:val="0"/>
      <w:divBdr>
        <w:top w:val="none" w:sz="0" w:space="0" w:color="auto"/>
        <w:left w:val="none" w:sz="0" w:space="0" w:color="auto"/>
        <w:bottom w:val="none" w:sz="0" w:space="0" w:color="auto"/>
        <w:right w:val="none" w:sz="0" w:space="0" w:color="auto"/>
      </w:divBdr>
    </w:div>
    <w:div w:id="1287084681">
      <w:bodyDiv w:val="1"/>
      <w:marLeft w:val="0"/>
      <w:marRight w:val="0"/>
      <w:marTop w:val="0"/>
      <w:marBottom w:val="0"/>
      <w:divBdr>
        <w:top w:val="none" w:sz="0" w:space="0" w:color="auto"/>
        <w:left w:val="none" w:sz="0" w:space="0" w:color="auto"/>
        <w:bottom w:val="none" w:sz="0" w:space="0" w:color="auto"/>
        <w:right w:val="none" w:sz="0" w:space="0" w:color="auto"/>
      </w:divBdr>
    </w:div>
    <w:div w:id="1289966632">
      <w:bodyDiv w:val="1"/>
      <w:marLeft w:val="0"/>
      <w:marRight w:val="0"/>
      <w:marTop w:val="0"/>
      <w:marBottom w:val="0"/>
      <w:divBdr>
        <w:top w:val="none" w:sz="0" w:space="0" w:color="auto"/>
        <w:left w:val="none" w:sz="0" w:space="0" w:color="auto"/>
        <w:bottom w:val="none" w:sz="0" w:space="0" w:color="auto"/>
        <w:right w:val="none" w:sz="0" w:space="0" w:color="auto"/>
      </w:divBdr>
    </w:div>
    <w:div w:id="1290893540">
      <w:bodyDiv w:val="1"/>
      <w:marLeft w:val="0"/>
      <w:marRight w:val="0"/>
      <w:marTop w:val="0"/>
      <w:marBottom w:val="0"/>
      <w:divBdr>
        <w:top w:val="none" w:sz="0" w:space="0" w:color="auto"/>
        <w:left w:val="none" w:sz="0" w:space="0" w:color="auto"/>
        <w:bottom w:val="none" w:sz="0" w:space="0" w:color="auto"/>
        <w:right w:val="none" w:sz="0" w:space="0" w:color="auto"/>
      </w:divBdr>
    </w:div>
    <w:div w:id="1307971212">
      <w:bodyDiv w:val="1"/>
      <w:marLeft w:val="0"/>
      <w:marRight w:val="0"/>
      <w:marTop w:val="0"/>
      <w:marBottom w:val="0"/>
      <w:divBdr>
        <w:top w:val="none" w:sz="0" w:space="0" w:color="auto"/>
        <w:left w:val="none" w:sz="0" w:space="0" w:color="auto"/>
        <w:bottom w:val="none" w:sz="0" w:space="0" w:color="auto"/>
        <w:right w:val="none" w:sz="0" w:space="0" w:color="auto"/>
      </w:divBdr>
    </w:div>
    <w:div w:id="1316842014">
      <w:bodyDiv w:val="1"/>
      <w:marLeft w:val="0"/>
      <w:marRight w:val="0"/>
      <w:marTop w:val="0"/>
      <w:marBottom w:val="0"/>
      <w:divBdr>
        <w:top w:val="none" w:sz="0" w:space="0" w:color="auto"/>
        <w:left w:val="none" w:sz="0" w:space="0" w:color="auto"/>
        <w:bottom w:val="none" w:sz="0" w:space="0" w:color="auto"/>
        <w:right w:val="none" w:sz="0" w:space="0" w:color="auto"/>
      </w:divBdr>
    </w:div>
    <w:div w:id="1325627870">
      <w:bodyDiv w:val="1"/>
      <w:marLeft w:val="0"/>
      <w:marRight w:val="0"/>
      <w:marTop w:val="0"/>
      <w:marBottom w:val="0"/>
      <w:divBdr>
        <w:top w:val="none" w:sz="0" w:space="0" w:color="auto"/>
        <w:left w:val="none" w:sz="0" w:space="0" w:color="auto"/>
        <w:bottom w:val="none" w:sz="0" w:space="0" w:color="auto"/>
        <w:right w:val="none" w:sz="0" w:space="0" w:color="auto"/>
      </w:divBdr>
    </w:div>
    <w:div w:id="1367952409">
      <w:bodyDiv w:val="1"/>
      <w:marLeft w:val="0"/>
      <w:marRight w:val="0"/>
      <w:marTop w:val="0"/>
      <w:marBottom w:val="0"/>
      <w:divBdr>
        <w:top w:val="none" w:sz="0" w:space="0" w:color="auto"/>
        <w:left w:val="none" w:sz="0" w:space="0" w:color="auto"/>
        <w:bottom w:val="none" w:sz="0" w:space="0" w:color="auto"/>
        <w:right w:val="none" w:sz="0" w:space="0" w:color="auto"/>
      </w:divBdr>
    </w:div>
    <w:div w:id="1374115761">
      <w:bodyDiv w:val="1"/>
      <w:marLeft w:val="0"/>
      <w:marRight w:val="0"/>
      <w:marTop w:val="0"/>
      <w:marBottom w:val="0"/>
      <w:divBdr>
        <w:top w:val="none" w:sz="0" w:space="0" w:color="auto"/>
        <w:left w:val="none" w:sz="0" w:space="0" w:color="auto"/>
        <w:bottom w:val="none" w:sz="0" w:space="0" w:color="auto"/>
        <w:right w:val="none" w:sz="0" w:space="0" w:color="auto"/>
      </w:divBdr>
    </w:div>
    <w:div w:id="1403677755">
      <w:bodyDiv w:val="1"/>
      <w:marLeft w:val="0"/>
      <w:marRight w:val="0"/>
      <w:marTop w:val="0"/>
      <w:marBottom w:val="0"/>
      <w:divBdr>
        <w:top w:val="none" w:sz="0" w:space="0" w:color="auto"/>
        <w:left w:val="none" w:sz="0" w:space="0" w:color="auto"/>
        <w:bottom w:val="none" w:sz="0" w:space="0" w:color="auto"/>
        <w:right w:val="none" w:sz="0" w:space="0" w:color="auto"/>
      </w:divBdr>
    </w:div>
    <w:div w:id="1453090142">
      <w:bodyDiv w:val="1"/>
      <w:marLeft w:val="0"/>
      <w:marRight w:val="0"/>
      <w:marTop w:val="0"/>
      <w:marBottom w:val="0"/>
      <w:divBdr>
        <w:top w:val="none" w:sz="0" w:space="0" w:color="auto"/>
        <w:left w:val="none" w:sz="0" w:space="0" w:color="auto"/>
        <w:bottom w:val="none" w:sz="0" w:space="0" w:color="auto"/>
        <w:right w:val="none" w:sz="0" w:space="0" w:color="auto"/>
      </w:divBdr>
    </w:div>
    <w:div w:id="1460228019">
      <w:bodyDiv w:val="1"/>
      <w:marLeft w:val="0"/>
      <w:marRight w:val="0"/>
      <w:marTop w:val="0"/>
      <w:marBottom w:val="0"/>
      <w:divBdr>
        <w:top w:val="none" w:sz="0" w:space="0" w:color="auto"/>
        <w:left w:val="none" w:sz="0" w:space="0" w:color="auto"/>
        <w:bottom w:val="none" w:sz="0" w:space="0" w:color="auto"/>
        <w:right w:val="none" w:sz="0" w:space="0" w:color="auto"/>
      </w:divBdr>
    </w:div>
    <w:div w:id="1483153866">
      <w:bodyDiv w:val="1"/>
      <w:marLeft w:val="0"/>
      <w:marRight w:val="0"/>
      <w:marTop w:val="0"/>
      <w:marBottom w:val="0"/>
      <w:divBdr>
        <w:top w:val="none" w:sz="0" w:space="0" w:color="auto"/>
        <w:left w:val="none" w:sz="0" w:space="0" w:color="auto"/>
        <w:bottom w:val="none" w:sz="0" w:space="0" w:color="auto"/>
        <w:right w:val="none" w:sz="0" w:space="0" w:color="auto"/>
      </w:divBdr>
    </w:div>
    <w:div w:id="1484086032">
      <w:bodyDiv w:val="1"/>
      <w:marLeft w:val="0"/>
      <w:marRight w:val="0"/>
      <w:marTop w:val="0"/>
      <w:marBottom w:val="0"/>
      <w:divBdr>
        <w:top w:val="none" w:sz="0" w:space="0" w:color="auto"/>
        <w:left w:val="none" w:sz="0" w:space="0" w:color="auto"/>
        <w:bottom w:val="none" w:sz="0" w:space="0" w:color="auto"/>
        <w:right w:val="none" w:sz="0" w:space="0" w:color="auto"/>
      </w:divBdr>
    </w:div>
    <w:div w:id="1487894046">
      <w:bodyDiv w:val="1"/>
      <w:marLeft w:val="0"/>
      <w:marRight w:val="0"/>
      <w:marTop w:val="0"/>
      <w:marBottom w:val="0"/>
      <w:divBdr>
        <w:top w:val="none" w:sz="0" w:space="0" w:color="auto"/>
        <w:left w:val="none" w:sz="0" w:space="0" w:color="auto"/>
        <w:bottom w:val="none" w:sz="0" w:space="0" w:color="auto"/>
        <w:right w:val="none" w:sz="0" w:space="0" w:color="auto"/>
      </w:divBdr>
    </w:div>
    <w:div w:id="1493182853">
      <w:bodyDiv w:val="1"/>
      <w:marLeft w:val="0"/>
      <w:marRight w:val="0"/>
      <w:marTop w:val="0"/>
      <w:marBottom w:val="0"/>
      <w:divBdr>
        <w:top w:val="none" w:sz="0" w:space="0" w:color="auto"/>
        <w:left w:val="none" w:sz="0" w:space="0" w:color="auto"/>
        <w:bottom w:val="none" w:sz="0" w:space="0" w:color="auto"/>
        <w:right w:val="none" w:sz="0" w:space="0" w:color="auto"/>
      </w:divBdr>
    </w:div>
    <w:div w:id="1516579266">
      <w:bodyDiv w:val="1"/>
      <w:marLeft w:val="0"/>
      <w:marRight w:val="0"/>
      <w:marTop w:val="0"/>
      <w:marBottom w:val="0"/>
      <w:divBdr>
        <w:top w:val="none" w:sz="0" w:space="0" w:color="auto"/>
        <w:left w:val="none" w:sz="0" w:space="0" w:color="auto"/>
        <w:bottom w:val="none" w:sz="0" w:space="0" w:color="auto"/>
        <w:right w:val="none" w:sz="0" w:space="0" w:color="auto"/>
      </w:divBdr>
    </w:div>
    <w:div w:id="1554543037">
      <w:bodyDiv w:val="1"/>
      <w:marLeft w:val="0"/>
      <w:marRight w:val="0"/>
      <w:marTop w:val="0"/>
      <w:marBottom w:val="0"/>
      <w:divBdr>
        <w:top w:val="none" w:sz="0" w:space="0" w:color="auto"/>
        <w:left w:val="none" w:sz="0" w:space="0" w:color="auto"/>
        <w:bottom w:val="none" w:sz="0" w:space="0" w:color="auto"/>
        <w:right w:val="none" w:sz="0" w:space="0" w:color="auto"/>
      </w:divBdr>
    </w:div>
    <w:div w:id="1563827258">
      <w:bodyDiv w:val="1"/>
      <w:marLeft w:val="0"/>
      <w:marRight w:val="0"/>
      <w:marTop w:val="0"/>
      <w:marBottom w:val="0"/>
      <w:divBdr>
        <w:top w:val="none" w:sz="0" w:space="0" w:color="auto"/>
        <w:left w:val="none" w:sz="0" w:space="0" w:color="auto"/>
        <w:bottom w:val="none" w:sz="0" w:space="0" w:color="auto"/>
        <w:right w:val="none" w:sz="0" w:space="0" w:color="auto"/>
      </w:divBdr>
    </w:div>
    <w:div w:id="1564288133">
      <w:bodyDiv w:val="1"/>
      <w:marLeft w:val="0"/>
      <w:marRight w:val="0"/>
      <w:marTop w:val="0"/>
      <w:marBottom w:val="0"/>
      <w:divBdr>
        <w:top w:val="none" w:sz="0" w:space="0" w:color="auto"/>
        <w:left w:val="none" w:sz="0" w:space="0" w:color="auto"/>
        <w:bottom w:val="none" w:sz="0" w:space="0" w:color="auto"/>
        <w:right w:val="none" w:sz="0" w:space="0" w:color="auto"/>
      </w:divBdr>
    </w:div>
    <w:div w:id="1592004492">
      <w:bodyDiv w:val="1"/>
      <w:marLeft w:val="0"/>
      <w:marRight w:val="0"/>
      <w:marTop w:val="0"/>
      <w:marBottom w:val="0"/>
      <w:divBdr>
        <w:top w:val="none" w:sz="0" w:space="0" w:color="auto"/>
        <w:left w:val="none" w:sz="0" w:space="0" w:color="auto"/>
        <w:bottom w:val="none" w:sz="0" w:space="0" w:color="auto"/>
        <w:right w:val="none" w:sz="0" w:space="0" w:color="auto"/>
      </w:divBdr>
    </w:div>
    <w:div w:id="1616643814">
      <w:bodyDiv w:val="1"/>
      <w:marLeft w:val="0"/>
      <w:marRight w:val="0"/>
      <w:marTop w:val="0"/>
      <w:marBottom w:val="0"/>
      <w:divBdr>
        <w:top w:val="none" w:sz="0" w:space="0" w:color="auto"/>
        <w:left w:val="none" w:sz="0" w:space="0" w:color="auto"/>
        <w:bottom w:val="none" w:sz="0" w:space="0" w:color="auto"/>
        <w:right w:val="none" w:sz="0" w:space="0" w:color="auto"/>
      </w:divBdr>
    </w:div>
    <w:div w:id="1673920621">
      <w:bodyDiv w:val="1"/>
      <w:marLeft w:val="0"/>
      <w:marRight w:val="0"/>
      <w:marTop w:val="0"/>
      <w:marBottom w:val="0"/>
      <w:divBdr>
        <w:top w:val="none" w:sz="0" w:space="0" w:color="auto"/>
        <w:left w:val="none" w:sz="0" w:space="0" w:color="auto"/>
        <w:bottom w:val="none" w:sz="0" w:space="0" w:color="auto"/>
        <w:right w:val="none" w:sz="0" w:space="0" w:color="auto"/>
      </w:divBdr>
    </w:div>
    <w:div w:id="1682581571">
      <w:bodyDiv w:val="1"/>
      <w:marLeft w:val="0"/>
      <w:marRight w:val="0"/>
      <w:marTop w:val="0"/>
      <w:marBottom w:val="0"/>
      <w:divBdr>
        <w:top w:val="none" w:sz="0" w:space="0" w:color="auto"/>
        <w:left w:val="none" w:sz="0" w:space="0" w:color="auto"/>
        <w:bottom w:val="none" w:sz="0" w:space="0" w:color="auto"/>
        <w:right w:val="none" w:sz="0" w:space="0" w:color="auto"/>
      </w:divBdr>
    </w:div>
    <w:div w:id="1691177082">
      <w:bodyDiv w:val="1"/>
      <w:marLeft w:val="0"/>
      <w:marRight w:val="0"/>
      <w:marTop w:val="0"/>
      <w:marBottom w:val="0"/>
      <w:divBdr>
        <w:top w:val="none" w:sz="0" w:space="0" w:color="auto"/>
        <w:left w:val="none" w:sz="0" w:space="0" w:color="auto"/>
        <w:bottom w:val="none" w:sz="0" w:space="0" w:color="auto"/>
        <w:right w:val="none" w:sz="0" w:space="0" w:color="auto"/>
      </w:divBdr>
    </w:div>
    <w:div w:id="1709530966">
      <w:bodyDiv w:val="1"/>
      <w:marLeft w:val="0"/>
      <w:marRight w:val="0"/>
      <w:marTop w:val="0"/>
      <w:marBottom w:val="0"/>
      <w:divBdr>
        <w:top w:val="none" w:sz="0" w:space="0" w:color="auto"/>
        <w:left w:val="none" w:sz="0" w:space="0" w:color="auto"/>
        <w:bottom w:val="none" w:sz="0" w:space="0" w:color="auto"/>
        <w:right w:val="none" w:sz="0" w:space="0" w:color="auto"/>
      </w:divBdr>
    </w:div>
    <w:div w:id="1724718561">
      <w:bodyDiv w:val="1"/>
      <w:marLeft w:val="0"/>
      <w:marRight w:val="0"/>
      <w:marTop w:val="0"/>
      <w:marBottom w:val="0"/>
      <w:divBdr>
        <w:top w:val="none" w:sz="0" w:space="0" w:color="auto"/>
        <w:left w:val="none" w:sz="0" w:space="0" w:color="auto"/>
        <w:bottom w:val="none" w:sz="0" w:space="0" w:color="auto"/>
        <w:right w:val="none" w:sz="0" w:space="0" w:color="auto"/>
      </w:divBdr>
    </w:div>
    <w:div w:id="1737507492">
      <w:bodyDiv w:val="1"/>
      <w:marLeft w:val="0"/>
      <w:marRight w:val="0"/>
      <w:marTop w:val="0"/>
      <w:marBottom w:val="0"/>
      <w:divBdr>
        <w:top w:val="none" w:sz="0" w:space="0" w:color="auto"/>
        <w:left w:val="none" w:sz="0" w:space="0" w:color="auto"/>
        <w:bottom w:val="none" w:sz="0" w:space="0" w:color="auto"/>
        <w:right w:val="none" w:sz="0" w:space="0" w:color="auto"/>
      </w:divBdr>
    </w:div>
    <w:div w:id="1799447970">
      <w:bodyDiv w:val="1"/>
      <w:marLeft w:val="0"/>
      <w:marRight w:val="0"/>
      <w:marTop w:val="0"/>
      <w:marBottom w:val="0"/>
      <w:divBdr>
        <w:top w:val="none" w:sz="0" w:space="0" w:color="auto"/>
        <w:left w:val="none" w:sz="0" w:space="0" w:color="auto"/>
        <w:bottom w:val="none" w:sz="0" w:space="0" w:color="auto"/>
        <w:right w:val="none" w:sz="0" w:space="0" w:color="auto"/>
      </w:divBdr>
    </w:div>
    <w:div w:id="1816146869">
      <w:bodyDiv w:val="1"/>
      <w:marLeft w:val="0"/>
      <w:marRight w:val="0"/>
      <w:marTop w:val="0"/>
      <w:marBottom w:val="0"/>
      <w:divBdr>
        <w:top w:val="none" w:sz="0" w:space="0" w:color="auto"/>
        <w:left w:val="none" w:sz="0" w:space="0" w:color="auto"/>
        <w:bottom w:val="none" w:sz="0" w:space="0" w:color="auto"/>
        <w:right w:val="none" w:sz="0" w:space="0" w:color="auto"/>
      </w:divBdr>
    </w:div>
    <w:div w:id="1830124307">
      <w:bodyDiv w:val="1"/>
      <w:marLeft w:val="0"/>
      <w:marRight w:val="0"/>
      <w:marTop w:val="0"/>
      <w:marBottom w:val="0"/>
      <w:divBdr>
        <w:top w:val="none" w:sz="0" w:space="0" w:color="auto"/>
        <w:left w:val="none" w:sz="0" w:space="0" w:color="auto"/>
        <w:bottom w:val="none" w:sz="0" w:space="0" w:color="auto"/>
        <w:right w:val="none" w:sz="0" w:space="0" w:color="auto"/>
      </w:divBdr>
    </w:div>
    <w:div w:id="1838109360">
      <w:bodyDiv w:val="1"/>
      <w:marLeft w:val="0"/>
      <w:marRight w:val="0"/>
      <w:marTop w:val="0"/>
      <w:marBottom w:val="0"/>
      <w:divBdr>
        <w:top w:val="none" w:sz="0" w:space="0" w:color="auto"/>
        <w:left w:val="none" w:sz="0" w:space="0" w:color="auto"/>
        <w:bottom w:val="none" w:sz="0" w:space="0" w:color="auto"/>
        <w:right w:val="none" w:sz="0" w:space="0" w:color="auto"/>
      </w:divBdr>
    </w:div>
    <w:div w:id="1857840028">
      <w:bodyDiv w:val="1"/>
      <w:marLeft w:val="0"/>
      <w:marRight w:val="0"/>
      <w:marTop w:val="0"/>
      <w:marBottom w:val="0"/>
      <w:divBdr>
        <w:top w:val="none" w:sz="0" w:space="0" w:color="auto"/>
        <w:left w:val="none" w:sz="0" w:space="0" w:color="auto"/>
        <w:bottom w:val="none" w:sz="0" w:space="0" w:color="auto"/>
        <w:right w:val="none" w:sz="0" w:space="0" w:color="auto"/>
      </w:divBdr>
    </w:div>
    <w:div w:id="1858959515">
      <w:bodyDiv w:val="1"/>
      <w:marLeft w:val="0"/>
      <w:marRight w:val="0"/>
      <w:marTop w:val="0"/>
      <w:marBottom w:val="0"/>
      <w:divBdr>
        <w:top w:val="none" w:sz="0" w:space="0" w:color="auto"/>
        <w:left w:val="none" w:sz="0" w:space="0" w:color="auto"/>
        <w:bottom w:val="none" w:sz="0" w:space="0" w:color="auto"/>
        <w:right w:val="none" w:sz="0" w:space="0" w:color="auto"/>
      </w:divBdr>
    </w:div>
    <w:div w:id="1877619432">
      <w:bodyDiv w:val="1"/>
      <w:marLeft w:val="0"/>
      <w:marRight w:val="0"/>
      <w:marTop w:val="0"/>
      <w:marBottom w:val="0"/>
      <w:divBdr>
        <w:top w:val="none" w:sz="0" w:space="0" w:color="auto"/>
        <w:left w:val="none" w:sz="0" w:space="0" w:color="auto"/>
        <w:bottom w:val="none" w:sz="0" w:space="0" w:color="auto"/>
        <w:right w:val="none" w:sz="0" w:space="0" w:color="auto"/>
      </w:divBdr>
    </w:div>
    <w:div w:id="1890453872">
      <w:bodyDiv w:val="1"/>
      <w:marLeft w:val="0"/>
      <w:marRight w:val="0"/>
      <w:marTop w:val="0"/>
      <w:marBottom w:val="0"/>
      <w:divBdr>
        <w:top w:val="none" w:sz="0" w:space="0" w:color="auto"/>
        <w:left w:val="none" w:sz="0" w:space="0" w:color="auto"/>
        <w:bottom w:val="none" w:sz="0" w:space="0" w:color="auto"/>
        <w:right w:val="none" w:sz="0" w:space="0" w:color="auto"/>
      </w:divBdr>
    </w:div>
    <w:div w:id="1890918171">
      <w:bodyDiv w:val="1"/>
      <w:marLeft w:val="0"/>
      <w:marRight w:val="0"/>
      <w:marTop w:val="0"/>
      <w:marBottom w:val="0"/>
      <w:divBdr>
        <w:top w:val="none" w:sz="0" w:space="0" w:color="auto"/>
        <w:left w:val="none" w:sz="0" w:space="0" w:color="auto"/>
        <w:bottom w:val="none" w:sz="0" w:space="0" w:color="auto"/>
        <w:right w:val="none" w:sz="0" w:space="0" w:color="auto"/>
      </w:divBdr>
    </w:div>
    <w:div w:id="1892812071">
      <w:bodyDiv w:val="1"/>
      <w:marLeft w:val="0"/>
      <w:marRight w:val="0"/>
      <w:marTop w:val="0"/>
      <w:marBottom w:val="0"/>
      <w:divBdr>
        <w:top w:val="none" w:sz="0" w:space="0" w:color="auto"/>
        <w:left w:val="none" w:sz="0" w:space="0" w:color="auto"/>
        <w:bottom w:val="none" w:sz="0" w:space="0" w:color="auto"/>
        <w:right w:val="none" w:sz="0" w:space="0" w:color="auto"/>
      </w:divBdr>
    </w:div>
    <w:div w:id="1912933337">
      <w:bodyDiv w:val="1"/>
      <w:marLeft w:val="0"/>
      <w:marRight w:val="0"/>
      <w:marTop w:val="0"/>
      <w:marBottom w:val="0"/>
      <w:divBdr>
        <w:top w:val="none" w:sz="0" w:space="0" w:color="auto"/>
        <w:left w:val="none" w:sz="0" w:space="0" w:color="auto"/>
        <w:bottom w:val="none" w:sz="0" w:space="0" w:color="auto"/>
        <w:right w:val="none" w:sz="0" w:space="0" w:color="auto"/>
      </w:divBdr>
    </w:div>
    <w:div w:id="1916433268">
      <w:bodyDiv w:val="1"/>
      <w:marLeft w:val="0"/>
      <w:marRight w:val="0"/>
      <w:marTop w:val="0"/>
      <w:marBottom w:val="0"/>
      <w:divBdr>
        <w:top w:val="none" w:sz="0" w:space="0" w:color="auto"/>
        <w:left w:val="none" w:sz="0" w:space="0" w:color="auto"/>
        <w:bottom w:val="none" w:sz="0" w:space="0" w:color="auto"/>
        <w:right w:val="none" w:sz="0" w:space="0" w:color="auto"/>
      </w:divBdr>
    </w:div>
    <w:div w:id="1933393617">
      <w:bodyDiv w:val="1"/>
      <w:marLeft w:val="0"/>
      <w:marRight w:val="0"/>
      <w:marTop w:val="0"/>
      <w:marBottom w:val="0"/>
      <w:divBdr>
        <w:top w:val="none" w:sz="0" w:space="0" w:color="auto"/>
        <w:left w:val="none" w:sz="0" w:space="0" w:color="auto"/>
        <w:bottom w:val="none" w:sz="0" w:space="0" w:color="auto"/>
        <w:right w:val="none" w:sz="0" w:space="0" w:color="auto"/>
      </w:divBdr>
    </w:div>
    <w:div w:id="1938056737">
      <w:bodyDiv w:val="1"/>
      <w:marLeft w:val="0"/>
      <w:marRight w:val="0"/>
      <w:marTop w:val="0"/>
      <w:marBottom w:val="0"/>
      <w:divBdr>
        <w:top w:val="none" w:sz="0" w:space="0" w:color="auto"/>
        <w:left w:val="none" w:sz="0" w:space="0" w:color="auto"/>
        <w:bottom w:val="none" w:sz="0" w:space="0" w:color="auto"/>
        <w:right w:val="none" w:sz="0" w:space="0" w:color="auto"/>
      </w:divBdr>
    </w:div>
    <w:div w:id="1964650185">
      <w:bodyDiv w:val="1"/>
      <w:marLeft w:val="0"/>
      <w:marRight w:val="0"/>
      <w:marTop w:val="0"/>
      <w:marBottom w:val="0"/>
      <w:divBdr>
        <w:top w:val="none" w:sz="0" w:space="0" w:color="auto"/>
        <w:left w:val="none" w:sz="0" w:space="0" w:color="auto"/>
        <w:bottom w:val="none" w:sz="0" w:space="0" w:color="auto"/>
        <w:right w:val="none" w:sz="0" w:space="0" w:color="auto"/>
      </w:divBdr>
    </w:div>
    <w:div w:id="1967807155">
      <w:bodyDiv w:val="1"/>
      <w:marLeft w:val="0"/>
      <w:marRight w:val="0"/>
      <w:marTop w:val="0"/>
      <w:marBottom w:val="0"/>
      <w:divBdr>
        <w:top w:val="none" w:sz="0" w:space="0" w:color="auto"/>
        <w:left w:val="none" w:sz="0" w:space="0" w:color="auto"/>
        <w:bottom w:val="none" w:sz="0" w:space="0" w:color="auto"/>
        <w:right w:val="none" w:sz="0" w:space="0" w:color="auto"/>
      </w:divBdr>
    </w:div>
    <w:div w:id="1974435154">
      <w:bodyDiv w:val="1"/>
      <w:marLeft w:val="0"/>
      <w:marRight w:val="0"/>
      <w:marTop w:val="0"/>
      <w:marBottom w:val="0"/>
      <w:divBdr>
        <w:top w:val="none" w:sz="0" w:space="0" w:color="auto"/>
        <w:left w:val="none" w:sz="0" w:space="0" w:color="auto"/>
        <w:bottom w:val="none" w:sz="0" w:space="0" w:color="auto"/>
        <w:right w:val="none" w:sz="0" w:space="0" w:color="auto"/>
      </w:divBdr>
    </w:div>
    <w:div w:id="1975284812">
      <w:bodyDiv w:val="1"/>
      <w:marLeft w:val="0"/>
      <w:marRight w:val="0"/>
      <w:marTop w:val="0"/>
      <w:marBottom w:val="0"/>
      <w:divBdr>
        <w:top w:val="none" w:sz="0" w:space="0" w:color="auto"/>
        <w:left w:val="none" w:sz="0" w:space="0" w:color="auto"/>
        <w:bottom w:val="none" w:sz="0" w:space="0" w:color="auto"/>
        <w:right w:val="none" w:sz="0" w:space="0" w:color="auto"/>
      </w:divBdr>
    </w:div>
    <w:div w:id="1981223992">
      <w:bodyDiv w:val="1"/>
      <w:marLeft w:val="0"/>
      <w:marRight w:val="0"/>
      <w:marTop w:val="0"/>
      <w:marBottom w:val="0"/>
      <w:divBdr>
        <w:top w:val="none" w:sz="0" w:space="0" w:color="auto"/>
        <w:left w:val="none" w:sz="0" w:space="0" w:color="auto"/>
        <w:bottom w:val="none" w:sz="0" w:space="0" w:color="auto"/>
        <w:right w:val="none" w:sz="0" w:space="0" w:color="auto"/>
      </w:divBdr>
    </w:div>
    <w:div w:id="1988166088">
      <w:bodyDiv w:val="1"/>
      <w:marLeft w:val="0"/>
      <w:marRight w:val="0"/>
      <w:marTop w:val="0"/>
      <w:marBottom w:val="0"/>
      <w:divBdr>
        <w:top w:val="none" w:sz="0" w:space="0" w:color="auto"/>
        <w:left w:val="none" w:sz="0" w:space="0" w:color="auto"/>
        <w:bottom w:val="none" w:sz="0" w:space="0" w:color="auto"/>
        <w:right w:val="none" w:sz="0" w:space="0" w:color="auto"/>
      </w:divBdr>
    </w:div>
    <w:div w:id="2002807099">
      <w:bodyDiv w:val="1"/>
      <w:marLeft w:val="0"/>
      <w:marRight w:val="0"/>
      <w:marTop w:val="0"/>
      <w:marBottom w:val="0"/>
      <w:divBdr>
        <w:top w:val="none" w:sz="0" w:space="0" w:color="auto"/>
        <w:left w:val="none" w:sz="0" w:space="0" w:color="auto"/>
        <w:bottom w:val="none" w:sz="0" w:space="0" w:color="auto"/>
        <w:right w:val="none" w:sz="0" w:space="0" w:color="auto"/>
      </w:divBdr>
    </w:div>
    <w:div w:id="2030639300">
      <w:bodyDiv w:val="1"/>
      <w:marLeft w:val="0"/>
      <w:marRight w:val="0"/>
      <w:marTop w:val="0"/>
      <w:marBottom w:val="0"/>
      <w:divBdr>
        <w:top w:val="none" w:sz="0" w:space="0" w:color="auto"/>
        <w:left w:val="none" w:sz="0" w:space="0" w:color="auto"/>
        <w:bottom w:val="none" w:sz="0" w:space="0" w:color="auto"/>
        <w:right w:val="none" w:sz="0" w:space="0" w:color="auto"/>
      </w:divBdr>
    </w:div>
    <w:div w:id="2074112426">
      <w:bodyDiv w:val="1"/>
      <w:marLeft w:val="0"/>
      <w:marRight w:val="0"/>
      <w:marTop w:val="0"/>
      <w:marBottom w:val="0"/>
      <w:divBdr>
        <w:top w:val="none" w:sz="0" w:space="0" w:color="auto"/>
        <w:left w:val="none" w:sz="0" w:space="0" w:color="auto"/>
        <w:bottom w:val="none" w:sz="0" w:space="0" w:color="auto"/>
        <w:right w:val="none" w:sz="0" w:space="0" w:color="auto"/>
      </w:divBdr>
    </w:div>
    <w:div w:id="2075423116">
      <w:bodyDiv w:val="1"/>
      <w:marLeft w:val="0"/>
      <w:marRight w:val="0"/>
      <w:marTop w:val="0"/>
      <w:marBottom w:val="0"/>
      <w:divBdr>
        <w:top w:val="none" w:sz="0" w:space="0" w:color="auto"/>
        <w:left w:val="none" w:sz="0" w:space="0" w:color="auto"/>
        <w:bottom w:val="none" w:sz="0" w:space="0" w:color="auto"/>
        <w:right w:val="none" w:sz="0" w:space="0" w:color="auto"/>
      </w:divBdr>
    </w:div>
    <w:div w:id="2101174208">
      <w:bodyDiv w:val="1"/>
      <w:marLeft w:val="0"/>
      <w:marRight w:val="0"/>
      <w:marTop w:val="0"/>
      <w:marBottom w:val="0"/>
      <w:divBdr>
        <w:top w:val="none" w:sz="0" w:space="0" w:color="auto"/>
        <w:left w:val="none" w:sz="0" w:space="0" w:color="auto"/>
        <w:bottom w:val="none" w:sz="0" w:space="0" w:color="auto"/>
        <w:right w:val="none" w:sz="0" w:space="0" w:color="auto"/>
      </w:divBdr>
    </w:div>
    <w:div w:id="2105105785">
      <w:bodyDiv w:val="1"/>
      <w:marLeft w:val="0"/>
      <w:marRight w:val="0"/>
      <w:marTop w:val="0"/>
      <w:marBottom w:val="0"/>
      <w:divBdr>
        <w:top w:val="none" w:sz="0" w:space="0" w:color="auto"/>
        <w:left w:val="none" w:sz="0" w:space="0" w:color="auto"/>
        <w:bottom w:val="none" w:sz="0" w:space="0" w:color="auto"/>
        <w:right w:val="none" w:sz="0" w:space="0" w:color="auto"/>
      </w:divBdr>
    </w:div>
    <w:div w:id="2132893401">
      <w:bodyDiv w:val="1"/>
      <w:marLeft w:val="0"/>
      <w:marRight w:val="0"/>
      <w:marTop w:val="0"/>
      <w:marBottom w:val="0"/>
      <w:divBdr>
        <w:top w:val="none" w:sz="0" w:space="0" w:color="auto"/>
        <w:left w:val="none" w:sz="0" w:space="0" w:color="auto"/>
        <w:bottom w:val="none" w:sz="0" w:space="0" w:color="auto"/>
        <w:right w:val="none" w:sz="0" w:space="0" w:color="auto"/>
      </w:divBdr>
    </w:div>
    <w:div w:id="2139494090">
      <w:bodyDiv w:val="1"/>
      <w:marLeft w:val="0"/>
      <w:marRight w:val="0"/>
      <w:marTop w:val="0"/>
      <w:marBottom w:val="0"/>
      <w:divBdr>
        <w:top w:val="none" w:sz="0" w:space="0" w:color="auto"/>
        <w:left w:val="none" w:sz="0" w:space="0" w:color="auto"/>
        <w:bottom w:val="none" w:sz="0" w:space="0" w:color="auto"/>
        <w:right w:val="none" w:sz="0" w:space="0" w:color="auto"/>
      </w:divBdr>
    </w:div>
    <w:div w:id="214002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ainconcern.org.uk/easing-pain-appointments/" TargetMode="External"/><Relationship Id="rId18" Type="http://schemas.openxmlformats.org/officeDocument/2006/relationships/hyperlink" Target="https://www.sign.ac.uk/sign-136-management-of-chronic-pain.html" TargetMode="External"/><Relationship Id="rId26" Type="http://schemas.openxmlformats.org/officeDocument/2006/relationships/hyperlink" Target="http://www.scottishhealthcouncil.org/patient__public_participation/participation_toolkit/idoc.ashx?docid=0cc44b94-010c-4e22-9166-4c8eac96d4a9&amp;version=-1" TargetMode="External"/><Relationship Id="rId3" Type="http://schemas.openxmlformats.org/officeDocument/2006/relationships/numbering" Target="numbering.xml"/><Relationship Id="rId21" Type="http://schemas.openxmlformats.org/officeDocument/2006/relationships/hyperlink" Target="http://painconcern.org.uk/medicines-long-term-pain/"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whatmatterstoyou.scot/why-is-it-important-to-ask-what-matters/" TargetMode="External"/><Relationship Id="rId17" Type="http://schemas.openxmlformats.org/officeDocument/2006/relationships/hyperlink" Target="http://www.therapeutics.scot.nhs.uk/wp-content/uploads/2018/10/Sample-Practice-Chronic-Pain-Analgesic-Protocol.docx" TargetMode="External"/><Relationship Id="rId25" Type="http://schemas.openxmlformats.org/officeDocument/2006/relationships/hyperlink" Target="https://www.paintoolkit.or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herapeutics.scot.nhs.uk/wp-content/uploads/2018/05/Strategy-Chronic-Pain-Resources-SLANNS-tool.docx" TargetMode="External"/><Relationship Id="rId20" Type="http://schemas.openxmlformats.org/officeDocument/2006/relationships/hyperlink" Target="https://www.therapeutics.scot.nhs.uk/wp-content/uploads/2018/09/Polypharmacy-Guidance-2018.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gn.ac.uk/sign-136-management-of-chronic-pain.html" TargetMode="External"/><Relationship Id="rId24" Type="http://schemas.openxmlformats.org/officeDocument/2006/relationships/hyperlink" Target="http://www.sign.ac.uk/sign-136-management-of-chronic-pain.html" TargetMode="External"/><Relationship Id="rId32"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hyperlink" Target="http://www.therapeutics.scot.nhs.uk/wp-content/uploads/2018/02/Opioid-risk-tool-22-February-2018.doc" TargetMode="External"/><Relationship Id="rId23" Type="http://schemas.openxmlformats.org/officeDocument/2006/relationships/hyperlink" Target="http://www.sign.ac.uk/sign-136-management-of-chronic-pain.html" TargetMode="External"/><Relationship Id="rId28" Type="http://schemas.openxmlformats.org/officeDocument/2006/relationships/image" Target="media/image3.png"/><Relationship Id="rId10" Type="http://schemas.openxmlformats.org/officeDocument/2006/relationships/image" Target="media/image2.jpeg"/><Relationship Id="rId19" Type="http://schemas.openxmlformats.org/officeDocument/2006/relationships/hyperlink" Target="http://www.sign.ac.uk/pat136-managing-chronic-pain.html" TargetMode="External"/><Relationship Id="rId31" Type="http://schemas.openxmlformats.org/officeDocument/2006/relationships/image" Target="media/image5.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aliss.org/" TargetMode="External"/><Relationship Id="rId22" Type="http://schemas.openxmlformats.org/officeDocument/2006/relationships/hyperlink" Target="http://www.therapeutics.scot.nhs.uk/wp-content/uploads/2017/09/Pain-Self-Management-Prescription-Dec-16.docx" TargetMode="External"/><Relationship Id="rId27" Type="http://schemas.openxmlformats.org/officeDocument/2006/relationships/hyperlink" Target="http://www.therapeutics.scot.nhs.uk/polypharmacy/" TargetMode="External"/><Relationship Id="rId3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A20851485</value>
    </field>
    <field name="Objective-Title">
      <value order="0">Strategy - Chronic Pain - Resources - Branch Gabapentinoid Guidance - v0.28</value>
    </field>
    <field name="Objective-Description">
      <value order="0"/>
    </field>
    <field name="Objective-CreationStamp">
      <value order="0">2018-04-24T09:28:20Z</value>
    </field>
    <field name="Objective-IsApproved">
      <value order="0">false</value>
    </field>
    <field name="Objective-IsPublished">
      <value order="0">false</value>
    </field>
    <field name="Objective-DatePublished">
      <value order="0"/>
    </field>
    <field name="Objective-ModificationStamp">
      <value order="0">2018-08-09T11:04:33Z</value>
    </field>
    <field name="Objective-Owner">
      <value order="0">Cormack, Jason J (Z608605)</value>
    </field>
    <field name="Objective-Path">
      <value order="0">Objective Global Folder:SG File Plan:Health, nutrition and care:Health care:General:Advice and policy: Health care - general:Effective Prescribing and Therapeutics: Projects: Strategies: 2017-2022</value>
    </field>
    <field name="Objective-Parent">
      <value order="0">Effective Prescribing and Therapeutics: Projects: Strategies: 2017-2022</value>
    </field>
    <field name="Objective-State">
      <value order="0">Being Drafted</value>
    </field>
    <field name="Objective-VersionId">
      <value order="0">vA30751028</value>
    </field>
    <field name="Objective-Version">
      <value order="0">0.14</value>
    </field>
    <field name="Objective-VersionNumber">
      <value order="0">14</value>
    </field>
    <field name="Objective-VersionComment">
      <value order="0"/>
    </field>
    <field name="Objective-FileNumber">
      <value order="0">qA648249</value>
    </field>
    <field name="Objective-Classification">
      <value order="0">OFFICIAL</value>
    </field>
    <field name="Objective-Caveats">
      <value order="0">Caveat for access to SG Fileplan</value>
    </field>
  </systemFields>
  <catalogues>
    <catalogue name="Document Type Catalogue" type="type" ori="id:cA35">
      <field name="Objective-Connect Creator">
        <value order="0"/>
      </field>
      <field name="Objective-Date Received">
        <value order="0"/>
      </field>
      <field name="Objective-Date of Original">
        <value order="0"/>
      </field>
      <field name="Objective-SG Web Publication - Category">
        <value order="0"/>
      </field>
      <field name="Objective-SG Web Publication - Category 2 Classification">
        <value order="0"/>
      </field>
    </catalogue>
  </catalogues>
</metadata>
</file>

<file path=customXml/item2.xml><?xml version="1.0" encoding="utf-8"?>
<b:Sources xmlns:b="http://schemas.openxmlformats.org/officeDocument/2006/bibliography" xmlns="http://schemas.openxmlformats.org/officeDocument/2006/bibliography" SelectedStyle="\IEEE2006OfficeOnline.xsl" StyleName="IEEE" Version="2006">
  <b:Source>
    <b:Tag>Fin15</b:Tag>
    <b:SourceType>JournalArticle</b:SourceType>
    <b:Guid>{7B485EB4-E8B7-4BF5-8D14-D9E60EF169EC}</b:Guid>
    <b:Author>
      <b:Author>
        <b:NameList>
          <b:Person>
            <b:Last>Finnerup</b:Last>
            <b:First>NB</b:First>
            <b:Middle>et al</b:Middle>
          </b:Person>
        </b:NameList>
      </b:Author>
    </b:Author>
    <b:Title>Pharmacotherapy for neuropathic pain in adults: a systematic review and meta-analysis</b:Title>
    <b:Year>2015</b:Year>
    <b:JournalName>The Lancet</b:JournalName>
    <b:Pages>162-173</b:Pages>
    <b:Volume>14</b:Volume>
    <b:Issue>2</b:Issue>
    <b:RefOrder>2</b:RefOrder>
  </b:Source>
  <b:Source>
    <b:Tag>Sco13</b:Tag>
    <b:SourceType>DocumentFromInternetSite</b:SourceType>
    <b:Guid>{DB4EE722-2662-493C-A805-258344BE9541}</b:Guid>
    <b:Author>
      <b:Author>
        <b:Corporate>Scottish Intercollegiate Guidelines Network (SIGN)</b:Corporate>
      </b:Author>
    </b:Author>
    <b:Title>Management of chronic pain. SIGN publication no. 136</b:Title>
    <b:Year>2013</b:Year>
    <b:YearAccessed>2018</b:YearAccessed>
    <b:MonthAccessed>November</b:MonthAccessed>
    <b:DayAccessed>7</b:DayAccessed>
    <b:URL>https://www.sign.ac.uk/assets/sign136.pdf</b:URL>
    <b:RefOrder>3</b:RefOrder>
  </b:Source>
  <b:Source>
    <b:Tag>Hom18</b:Tag>
    <b:SourceType>InternetSite</b:SourceType>
    <b:Guid>{ECAC4FDD-6E01-44D0-80E2-225BCA252C5C}</b:Guid>
    <b:Author>
      <b:Author>
        <b:Corporate>Home Office and Victoria Atkins MP</b:Corporate>
      </b:Author>
    </b:Author>
    <b:Title>Pregabalin and gabapentin to be controlled as class C drugs</b:Title>
    <b:Year>2018</b:Year>
    <b:Month>October</b:Month>
    <b:Day>15</b:Day>
    <b:YearAccessed>2018</b:YearAccessed>
    <b:MonthAccessed>November</b:MonthAccessed>
    <b:DayAccessed>7</b:DayAccessed>
    <b:URL> https://www.gov.uk/government/news/pregabalin-and-gabapentin-to-be-controlled-as-class-c-drugs</b:URL>
    <b:RefOrder>7</b:RefOrder>
  </b:Source>
  <b:Source>
    <b:Tag>Hea18</b:Tag>
    <b:SourceType>InternetSite</b:SourceType>
    <b:Guid>{E603F9F2-E274-4724-AADA-819200670525}</b:Guid>
    <b:Author>
      <b:Author>
        <b:Corporate>Healthcare Improvement Scotland (HIS)</b:Corporate>
      </b:Author>
    </b:Author>
    <b:Title>Why is it important to ask ‘what matters?’</b:Title>
    <b:YearAccessed>2018</b:YearAccessed>
    <b:MonthAccessed>November</b:MonthAccessed>
    <b:DayAccessed>7</b:DayAccessed>
    <b:URL>http://www.whatmatterstoyou.scot/why-is-it-important-to-ask-what-matters/</b:URL>
    <b:RefOrder>4</b:RefOrder>
  </b:Source>
  <b:Source>
    <b:Tag>ALo18</b:Tag>
    <b:SourceType>InternetSite</b:SourceType>
    <b:Guid>{6E2E446E-8C73-4FE5-91A4-AFBB835E1A1B}</b:Guid>
    <b:Author>
      <b:Author>
        <b:Corporate>A Local Information System for Scotland (ALISS)</b:Corporate>
      </b:Author>
    </b:Author>
    <b:Title>Connecting Communities</b:Title>
    <b:Year>2018</b:Year>
    <b:YearAccessed>2018</b:YearAccessed>
    <b:MonthAccessed>November</b:MonthAccessed>
    <b:DayAccessed>7</b:DayAccessed>
    <b:URL>https://www.aliss.org/</b:URL>
    <b:RefOrder>6</b:RefOrder>
  </b:Source>
  <b:Source>
    <b:Tag>Bri18</b:Tag>
    <b:SourceType>DocumentFromInternetSite</b:SourceType>
    <b:Guid>{417ABC0D-2BA7-4A1A-A108-CD27729BD544}</b:Guid>
    <b:Author>
      <b:Author>
        <b:Corporate>British National Formulary (BNF)</b:Corporate>
      </b:Author>
    </b:Author>
    <b:Title>Gabapentin</b:Title>
    <b:Year>2018</b:Year>
    <b:Month>October</b:Month>
    <b:Day>2</b:Day>
    <b:YearAccessed>2018</b:YearAccessed>
    <b:MonthAccessed>November</b:MonthAccessed>
    <b:DayAccessed>7</b:DayAccessed>
    <b:URL>https://bnf.nice.org.uk/drug/gabapentin.html#cautions</b:URL>
    <b:RefOrder>8</b:RefOrder>
  </b:Source>
  <b:Source>
    <b:Tag>NHS14</b:Tag>
    <b:SourceType>DocumentFromInternetSite</b:SourceType>
    <b:Guid>{3D43C84F-EB25-4CC7-9CCB-8EB7E2944110}</b:Guid>
    <b:Author>
      <b:Author>
        <b:Corporate>NHS England and Public Health England</b:Corporate>
      </b:Author>
    </b:Author>
    <b:Title>Advice for prescribers on the risk of the misuse of pregabalin and gabapentin</b:Title>
    <b:Year>2014</b:Year>
    <b:Month>December</b:Month>
    <b:YearAccessed>2018</b:YearAccessed>
    <b:MonthAccessed>November</b:MonthAccessed>
    <b:DayAccessed>7</b:DayAccessed>
    <b:URL>https://assets.publishing.service.gov.uk/government/uploads/system/uploads/attachment_data/file/385791/PHE-NHS_England_pregabalin_and_gabapentin_advice_Dec_2014.pdf</b:URL>
    <b:RefOrder>9</b:RefOrder>
  </b:Source>
  <b:Source>
    <b:Tag>Cli17</b:Tag>
    <b:SourceType>DocumentFromInternetSite</b:SourceType>
    <b:Guid>{6C7AB1FF-D08D-48BD-9F6A-C1A96033E895}</b:Guid>
    <b:Author>
      <b:Author>
        <b:Corporate>Clinical Guidelines on Drug Misuse and Dependence Update 2017 Independent Expert Working Group</b:Corporate>
      </b:Author>
    </b:Author>
    <b:Title>Clinical Guidelines on Drug Misuse and Dependence Update 2017</b:Title>
    <b:Year>2017</b:Year>
    <b:Month>November</b:Month>
    <b:YearAccessed>2018</b:YearAccessed>
    <b:MonthAccessed>November</b:MonthAccessed>
    <b:DayAccessed>7</b:DayAccessed>
    <b:URL>https://assets.publishing.service.gov.uk/government/uploads/system/uploads/attachment_data/file/673978/clinical_guidelines_2017.pdf</b:URL>
    <b:RefOrder>10</b:RefOrder>
  </b:Source>
  <b:Source>
    <b:Tag>Web05</b:Tag>
    <b:SourceType>JournalArticle</b:SourceType>
    <b:Guid>{ADBC9EFB-AB7E-46D3-A832-4013626209E5}</b:Guid>
    <b:Title>Predicting aberrant behaviors in opioid-treated patients: preliminary validation of the Opioid Risk Tool</b:Title>
    <b:Year>2005</b:Year>
    <b:Author>
      <b:Author>
        <b:NameList>
          <b:Person>
            <b:Last>Webster LR</b:Last>
            <b:First>Webster</b:First>
            <b:Middle>RM</b:Middle>
          </b:Person>
        </b:NameList>
      </b:Author>
    </b:Author>
    <b:JournalName>Pain medicine</b:JournalName>
    <b:Pages>432-442</b:Pages>
    <b:Volume>6</b:Volume>
    <b:Issue>6</b:Issue>
    <b:RefOrder>11</b:RefOrder>
  </b:Source>
  <b:Source>
    <b:Tag>Mic05</b:Tag>
    <b:SourceType>JournalArticle</b:SourceType>
    <b:Guid>{24EAC9D0-AFAA-4310-AA51-2A315EA97F74}</b:Guid>
    <b:Author>
      <b:Author>
        <b:NameList>
          <b:Person>
            <b:Last>Michael I. Bennett</b:Last>
            <b:First>Blair</b:First>
            <b:Middle>H. Smith, Nicola Torrance, and Jean Potter</b:Middle>
          </b:Person>
        </b:NameList>
      </b:Author>
    </b:Author>
    <b:Title>The S-LANSS Score for Identifying Pain of Predominantly Neuropathic Origin: Validation for Use in Clinical and Postal Research</b:Title>
    <b:JournalName>American Pain Society</b:JournalName>
    <b:Year>2005</b:Year>
    <b:Pages>149-158</b:Pages>
    <b:Volume>6</b:Volume>
    <b:Issue>3</b:Issue>
    <b:RefOrder>12</b:RefOrder>
  </b:Source>
  <b:Source>
    <b:Tag>Sam18</b:Tag>
    <b:SourceType>InternetSite</b:SourceType>
    <b:Guid>{6982F521-EBC9-40A1-8280-1B4313F1F050}</b:Guid>
    <b:Title>Sample Practice Chronic Pain Analgesic protocol</b:Title>
    <b:Year>2018</b:Year>
    <b:YearAccessed>2018</b:YearAccessed>
    <b:MonthAccessed>November</b:MonthAccessed>
    <b:DayAccessed>8</b:DayAccessed>
    <b:URL>https://www.therapeutics.scot.nhs.uk/pain/</b:URL>
    <b:RefOrder>13</b:RefOrder>
  </b:Source>
  <b:Source>
    <b:Tag>Eff18</b:Tag>
    <b:SourceType>DocumentFromInternetSite</b:SourceType>
    <b:Guid>{4BB8C5C1-E9CE-45C5-A985-30F8FBAEF465}</b:Guid>
    <b:Title>Polypharmacy</b:Title>
    <b:YearAccessed>2018</b:YearAccessed>
    <b:MonthAccessed>11</b:MonthAccessed>
    <b:DayAccessed>13</b:DayAccessed>
    <b:URL>https://www.therapeutics.scot.nhs.uk/polypharmacy/</b:URL>
    <b:Author>
      <b:Author>
        <b:Corporate>Effective Prescribing and Therapeutics branch, Scottish Government</b:Corporate>
      </b:Author>
    </b:Author>
    <b:RefOrder>14</b:RefOrder>
  </b:Source>
  <b:Source>
    <b:Tag>PCNav</b:Tag>
    <b:SourceType>InternetSite</b:SourceType>
    <b:Guid>{35D47134-18D8-4CB0-9860-60B1588ACDF5}</b:Guid>
    <b:Author>
      <b:Author>
        <b:Corporate>Pain Concern</b:Corporate>
      </b:Author>
    </b:Author>
    <b:Title>Research - Navigator Tool</b:Title>
    <b:YearAccessed>2018</b:YearAccessed>
    <b:MonthAccessed>November</b:MonthAccessed>
    <b:DayAccessed>13</b:DayAccessed>
    <b:URL>http://painconcern.org.uk/research/</b:URL>
    <b:RefOrder>5</b:RefOrder>
  </b:Source>
  <b:Source>
    <b:Tag>Pai17</b:Tag>
    <b:SourceType>DocumentFromInternetSite</b:SourceType>
    <b:Guid>{79E9523F-0A1E-4BB1-A298-1BEFB92DFB17}</b:Guid>
    <b:Author>
      <b:Author>
        <b:Corporate>Pain Concern</b:Corporate>
      </b:Author>
    </b:Author>
    <b:Title>Medicines for long-term pain</b:Title>
    <b:Year>2017</b:Year>
    <b:Month>October</b:Month>
    <b:Day>27</b:Day>
    <b:YearAccessed>2018</b:YearAccessed>
    <b:MonthAccessed>11</b:MonthAccessed>
    <b:DayAccessed>13</b:DayAccessed>
    <b:URL>http://painconcern.org.uk/medicines-long-term-pain/</b:URL>
    <b:RefOrder>15</b:RefOrder>
  </b:Source>
  <b:Source>
    <b:Tag>NHS16</b:Tag>
    <b:SourceType>DocumentFromInternetSite</b:SourceType>
    <b:Guid>{4B75168C-FD64-4F69-AF64-4B1B0D012275}</b:Guid>
    <b:Author>
      <b:Author>
        <b:Corporate>NHS Fife Integrated Pain Management Service</b:Corporate>
      </b:Author>
    </b:Author>
    <b:Title>Chronic Pain Prescribing Strategy</b:Title>
    <b:Year>2016</b:Year>
    <b:Month>December</b:Month>
    <b:YearAccessed>2018</b:YearAccessed>
    <b:MonthAccessed>11</b:MonthAccessed>
    <b:DayAccessed>13</b:DayAccessed>
    <b:URL>https://www.therapeutics.scot.nhs.uk/pain/</b:URL>
    <b:RefOrder>16</b:RefOrder>
  </b:Source>
  <b:Source>
    <b:Tag>Nat17</b:Tag>
    <b:SourceType>DocumentFromInternetSite</b:SourceType>
    <b:Guid>{A2BD0D96-F6E8-4FCC-9920-F6CEA9F0A183}</b:Guid>
    <b:Author>
      <b:Author>
        <b:Corporate>National Records of Scotland</b:Corporate>
      </b:Author>
    </b:Author>
    <b:Title>Drug Related Deaths in Scotland</b:Title>
    <b:Year>2017</b:Year>
    <b:Month>July</b:Month>
    <b:Day>3</b:Day>
    <b:YearAccessed>2018</b:YearAccessed>
    <b:MonthAccessed>November</b:MonthAccessed>
    <b:DayAccessed>13</b:DayAccessed>
    <b:URL>https://www.nrscotland.gov.uk/statistics-and-data/statistics/statistics-by-theme/vital-events/deaths/drug-related-deaths-in-scotland</b:URL>
    <b:RefOrder>17</b:RefOrder>
  </b:Source>
  <b:Source>
    <b:Tag>Moo18</b:Tag>
    <b:SourceType>DocumentFromInternetSite</b:SourceType>
    <b:Guid>{B8001046-D8D3-4CAC-858D-88D649BDCEDB}</b:Guid>
    <b:Author>
      <b:Author>
        <b:NameList>
          <b:Person>
            <b:Last>Moore</b:Last>
            <b:First>P</b:First>
          </b:Person>
        </b:NameList>
      </b:Author>
    </b:Author>
    <b:Title>The Pain Toolkit</b:Title>
    <b:Year>2018</b:Year>
    <b:YearAccessed>2018</b:YearAccessed>
    <b:MonthAccessed>November</b:MonthAccessed>
    <b:DayAccessed>13</b:DayAccessed>
    <b:URL>https://www.paintoolkit.org/</b:URL>
    <b:RefOrder>18</b:RefOrder>
  </b:Source>
  <b:Source>
    <b:Tag>Sco14</b:Tag>
    <b:SourceType>DocumentFromInternetSite</b:SourceType>
    <b:Guid>{9D2D23A9-AEC1-4CDE-91F6-518C4D913084}</b:Guid>
    <b:Author>
      <b:Author>
        <b:Corporate>Scottish Health Council</b:Corporate>
      </b:Author>
    </b:Author>
    <b:Title>Teach-back</b:Title>
    <b:Year>2014</b:Year>
    <b:Month>February</b:Month>
    <b:YearAccessed>2018</b:YearAccessed>
    <b:MonthAccessed>November</b:MonthAccessed>
    <b:DayAccessed>13</b:DayAccessed>
    <b:URL>http://www.scottishhealthcouncil.org/patient__public_participation/participation_toolkit/teach-back.aspx#.W-p-MU1LHbg</b:URL>
    <b:RefOrder>19</b:RefOrder>
  </b:Source>
  <b:Source>
    <b:Tag>Smi16</b:Tag>
    <b:SourceType>DocumentFromInternetSite</b:SourceType>
    <b:Guid>{818858BC-76C9-43E5-80D6-35803298B157}</b:Guid>
    <b:Author>
      <b:Author>
        <b:Corporate>Smith et al</b:Corporate>
      </b:Author>
    </b:Author>
    <b:Title>Scottish School of Primary Care GP Clusters Briefing Paper 2</b:Title>
    <b:Year>2016</b:Year>
    <b:Month>September</b:Month>
    <b:Day>5</b:Day>
    <b:YearAccessed>2018</b:YearAccessed>
    <b:MonthAccessed>November</b:MonthAccessed>
    <b:DayAccessed>13</b:DayAccessed>
    <b:URL>http://www.sspc.ac.uk/media/media_484727_en.pdf</b:URL>
    <b:RefOrder>20</b:RefOrder>
  </b:Source>
  <b:Source>
    <b:Tag>Sco18</b:Tag>
    <b:SourceType>DocumentFromInternetSite</b:SourceType>
    <b:Guid>{16E4129F-9142-4977-8123-894A6D9304D9}</b:Guid>
    <b:Author>
      <b:Author>
        <b:Corporate>Effective Prescribing and Therapeutics Branch, Scottish Government</b:Corporate>
      </b:Author>
    </b:Author>
    <b:Title>Quality Prescribing for Chronic Pain - A Guide for Improvement 2018-2021</b:Title>
    <b:Year>2018</b:Year>
    <b:YearAccessed>2018</b:YearAccessed>
    <b:MonthAccessed>November</b:MonthAccessed>
    <b:DayAccessed>7th</b:DayAccessed>
    <b:URL>https://www.therapeutics.scot.nhs.uk/wp-content/uploads/2018/03/Strategy-Chronic-Pain-Quality-Prescribing-for-Chronic-Pain-2018.pdf</b:URL>
    <b:RefOrder>1</b:RefOrder>
  </b:Source>
</b:Sources>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D86AB863-EF99-4A61-A206-6250115B1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4656</Words>
  <Characters>26541</Characters>
  <Application>Microsoft Office Word</Application>
  <DocSecurity>4</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z608605</dc:creator>
  <cp:lastModifiedBy>White C (Chris)</cp:lastModifiedBy>
  <cp:revision>2</cp:revision>
  <cp:lastPrinted>2018-10-16T08:51:00Z</cp:lastPrinted>
  <dcterms:created xsi:type="dcterms:W3CDTF">2018-12-11T15:37:00Z</dcterms:created>
  <dcterms:modified xsi:type="dcterms:W3CDTF">2018-12-11T15:37:00Z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A20851485</vt:lpwstr>
  </property>
  <property fmtid="{D5CDD505-2E9C-101B-9397-08002B2CF9AE}" pid="4" name="Objective-Title">
    <vt:lpwstr>Strategy - Chronic Pain - Resources - Branch Gabapentinoid Guidance - v0.28</vt:lpwstr>
  </property>
  <property fmtid="{D5CDD505-2E9C-101B-9397-08002B2CF9AE}" pid="5" name="Objective-Description">
    <vt:lpwstr/>
  </property>
  <property fmtid="{D5CDD505-2E9C-101B-9397-08002B2CF9AE}" pid="6" name="Objective-CreationStamp">
    <vt:filetime>2018-04-25T08:43:56Z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2018-08-09T11:04:33Z</vt:filetime>
  </property>
  <property fmtid="{D5CDD505-2E9C-101B-9397-08002B2CF9AE}" pid="11" name="Objective-Owner">
    <vt:lpwstr>Cormack, Jason J (Z608605)</vt:lpwstr>
  </property>
  <property fmtid="{D5CDD505-2E9C-101B-9397-08002B2CF9AE}" pid="12" name="Objective-Path">
    <vt:lpwstr>Objective Global Folder:SG File Plan:Health, nutrition and care:Health care:General:Advice and policy: Health care - general:Effective Prescribing and Therapeutics: Projects: Strategies: 2017-2022:</vt:lpwstr>
  </property>
  <property fmtid="{D5CDD505-2E9C-101B-9397-08002B2CF9AE}" pid="13" name="Objective-Parent">
    <vt:lpwstr>Effective Prescribing and Therapeutics: Projects: Strategies: 2017-2022</vt:lpwstr>
  </property>
  <property fmtid="{D5CDD505-2E9C-101B-9397-08002B2CF9AE}" pid="14" name="Objective-State">
    <vt:lpwstr>Being Drafted</vt:lpwstr>
  </property>
  <property fmtid="{D5CDD505-2E9C-101B-9397-08002B2CF9AE}" pid="15" name="Objective-VersionId">
    <vt:lpwstr>vA30751028</vt:lpwstr>
  </property>
  <property fmtid="{D5CDD505-2E9C-101B-9397-08002B2CF9AE}" pid="16" name="Objective-Version">
    <vt:lpwstr>0.14</vt:lpwstr>
  </property>
  <property fmtid="{D5CDD505-2E9C-101B-9397-08002B2CF9AE}" pid="17" name="Objective-VersionNumber">
    <vt:r8>14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Date Received">
    <vt:lpwstr/>
  </property>
  <property fmtid="{D5CDD505-2E9C-101B-9397-08002B2CF9AE}" pid="24" name="Objective-Date of Original">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ies>
</file>